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F1DA0" w14:textId="77777777" w:rsidR="006C3B7E" w:rsidRDefault="006C3B7E" w:rsidP="000F54F5">
      <w:pPr>
        <w:jc w:val="center"/>
        <w:rPr>
          <w:b/>
        </w:rPr>
      </w:pPr>
    </w:p>
    <w:p w14:paraId="73735189" w14:textId="6EE3DC80" w:rsidR="000F54F5" w:rsidRDefault="000F54F5" w:rsidP="000F54F5">
      <w:pPr>
        <w:jc w:val="center"/>
        <w:rPr>
          <w:b/>
        </w:rPr>
      </w:pPr>
      <w:r>
        <w:rPr>
          <w:b/>
        </w:rPr>
        <w:t xml:space="preserve">INVITATION TO TENDER FOR </w:t>
      </w:r>
    </w:p>
    <w:p w14:paraId="726EABD7" w14:textId="77777777" w:rsidR="000F54F5" w:rsidRDefault="004A129B" w:rsidP="000F54F5">
      <w:pPr>
        <w:jc w:val="center"/>
        <w:rPr>
          <w:b/>
        </w:rPr>
      </w:pPr>
      <w:r>
        <w:rPr>
          <w:b/>
        </w:rPr>
        <w:t>BELOW-THRESHOLD</w:t>
      </w:r>
      <w:r w:rsidR="00A4718B">
        <w:rPr>
          <w:b/>
        </w:rPr>
        <w:t xml:space="preserve"> PROCUREMENTS</w:t>
      </w:r>
    </w:p>
    <w:p w14:paraId="1DF8EC7B" w14:textId="77777777" w:rsidR="000F54F5" w:rsidRDefault="000F54F5" w:rsidP="000F54F5">
      <w:pPr>
        <w:jc w:val="center"/>
        <w:rPr>
          <w:b/>
        </w:rPr>
      </w:pPr>
      <w:r>
        <w:rPr>
          <w:b/>
        </w:rPr>
        <w:t xml:space="preserve">SECTION A: INSTRUCTIONS AND INFORMATION </w:t>
      </w:r>
    </w:p>
    <w:p w14:paraId="672A6659" w14:textId="77777777" w:rsidR="00E35A17" w:rsidRDefault="00E35A17" w:rsidP="00EE5EB0">
      <w:pPr>
        <w:jc w:val="center"/>
        <w:rPr>
          <w:b/>
        </w:rPr>
      </w:pPr>
    </w:p>
    <w:p w14:paraId="07547A01" w14:textId="0FAC641D" w:rsidR="00CF60B2" w:rsidRDefault="00CF60B2">
      <w:pPr>
        <w:spacing w:after="240"/>
        <w:jc w:val="left"/>
        <w:rPr>
          <w:rFonts w:eastAsia="Times New Roman" w:cs="Times New Roman"/>
          <w:color w:val="000000" w:themeColor="text1"/>
          <w:lang w:eastAsia="en-GB"/>
        </w:rPr>
      </w:pPr>
    </w:p>
    <w:p w14:paraId="5043CB0F" w14:textId="77777777" w:rsidR="00200E60" w:rsidRDefault="00200E60" w:rsidP="00200E60">
      <w:pPr>
        <w:pStyle w:val="Heading2"/>
        <w:numPr>
          <w:ilvl w:val="0"/>
          <w:numId w:val="0"/>
        </w:numPr>
        <w:jc w:val="center"/>
      </w:pPr>
    </w:p>
    <w:p w14:paraId="07459315" w14:textId="77777777" w:rsidR="00200E60" w:rsidRDefault="00200E60" w:rsidP="00200E60">
      <w:pPr>
        <w:pStyle w:val="Heading2"/>
        <w:numPr>
          <w:ilvl w:val="0"/>
          <w:numId w:val="0"/>
        </w:numPr>
        <w:jc w:val="center"/>
      </w:pPr>
    </w:p>
    <w:p w14:paraId="2096F7EB" w14:textId="77777777" w:rsidR="00516380" w:rsidRDefault="00516380" w:rsidP="00516380">
      <w:pPr>
        <w:pStyle w:val="Heading2"/>
        <w:numPr>
          <w:ilvl w:val="0"/>
          <w:numId w:val="0"/>
        </w:numPr>
        <w:jc w:val="center"/>
        <w:rPr>
          <w:rFonts w:cs="Arial"/>
          <w:b/>
        </w:rPr>
      </w:pPr>
      <w:r w:rsidRPr="001563FD">
        <w:rPr>
          <w:rFonts w:cs="Arial"/>
          <w:b/>
        </w:rPr>
        <w:t>Health Education England</w:t>
      </w:r>
    </w:p>
    <w:p w14:paraId="5AB1C278" w14:textId="77777777" w:rsidR="00516380" w:rsidRPr="001563FD" w:rsidRDefault="00516380" w:rsidP="00516380">
      <w:pPr>
        <w:pStyle w:val="Heading2"/>
        <w:numPr>
          <w:ilvl w:val="0"/>
          <w:numId w:val="0"/>
        </w:numPr>
        <w:jc w:val="center"/>
        <w:rPr>
          <w:rFonts w:cs="Arial"/>
        </w:rPr>
      </w:pPr>
      <w:r>
        <w:rPr>
          <w:rFonts w:cs="Arial"/>
          <w:b/>
        </w:rPr>
        <w:t>Genomics Education Programme</w:t>
      </w:r>
    </w:p>
    <w:p w14:paraId="6DFB9E20" w14:textId="77777777" w:rsidR="00B45130" w:rsidRDefault="00B45130" w:rsidP="00200E60">
      <w:pPr>
        <w:pStyle w:val="Heading2"/>
        <w:numPr>
          <w:ilvl w:val="0"/>
          <w:numId w:val="0"/>
        </w:numPr>
        <w:jc w:val="center"/>
      </w:pPr>
    </w:p>
    <w:p w14:paraId="1C00720B" w14:textId="79C7F06B" w:rsidR="000D19B2" w:rsidRDefault="000D19B2" w:rsidP="000D19B2">
      <w:pPr>
        <w:pStyle w:val="Heading2"/>
        <w:numPr>
          <w:ilvl w:val="1"/>
          <w:numId w:val="0"/>
        </w:numPr>
        <w:jc w:val="center"/>
      </w:pPr>
      <w:r w:rsidRPr="003F585D">
        <w:rPr>
          <w:rFonts w:cs="Arial"/>
        </w:rPr>
        <w:t xml:space="preserve">Invitation to tender for provision of </w:t>
      </w:r>
      <w:r w:rsidR="5204C2DC" w:rsidRPr="003F585D">
        <w:rPr>
          <w:rFonts w:cs="Arial"/>
        </w:rPr>
        <w:t>design</w:t>
      </w:r>
      <w:r w:rsidR="00CF158E" w:rsidRPr="003F585D">
        <w:rPr>
          <w:rFonts w:cs="Arial"/>
        </w:rPr>
        <w:t xml:space="preserve"> services </w:t>
      </w:r>
      <w:r w:rsidRPr="003F585D">
        <w:rPr>
          <w:rFonts w:cs="Arial"/>
        </w:rPr>
        <w:t>for the Genomics Education Programme</w:t>
      </w:r>
    </w:p>
    <w:p w14:paraId="70DF9E56" w14:textId="77777777" w:rsidR="00200E60" w:rsidRDefault="00200E60" w:rsidP="00200E60">
      <w:pPr>
        <w:pStyle w:val="Heading2"/>
        <w:numPr>
          <w:ilvl w:val="0"/>
          <w:numId w:val="0"/>
        </w:numPr>
        <w:jc w:val="center"/>
      </w:pPr>
    </w:p>
    <w:p w14:paraId="44E871BC" w14:textId="77777777" w:rsidR="00B45130" w:rsidRDefault="00B45130" w:rsidP="00200E60">
      <w:pPr>
        <w:pStyle w:val="Heading2"/>
        <w:numPr>
          <w:ilvl w:val="0"/>
          <w:numId w:val="0"/>
        </w:numPr>
        <w:jc w:val="center"/>
      </w:pPr>
    </w:p>
    <w:p w14:paraId="2B21D187" w14:textId="18DC49C4" w:rsidR="00AD1F28" w:rsidRDefault="00AD1F28" w:rsidP="00AD1F28">
      <w:pPr>
        <w:pStyle w:val="Heading2"/>
        <w:numPr>
          <w:ilvl w:val="1"/>
          <w:numId w:val="0"/>
        </w:numPr>
        <w:jc w:val="center"/>
        <w:rPr>
          <w:shd w:val="clear" w:color="auto" w:fill="FFFF66"/>
        </w:rPr>
      </w:pPr>
      <w:r>
        <w:t xml:space="preserve">Date of advertisement on Contract Finder:  </w:t>
      </w:r>
      <w:r w:rsidR="00E5207E">
        <w:t>3rd July</w:t>
      </w:r>
      <w:r w:rsidR="00896434">
        <w:t xml:space="preserve"> </w:t>
      </w:r>
      <w:r w:rsidR="00F320FE">
        <w:t>2020</w:t>
      </w:r>
    </w:p>
    <w:p w14:paraId="738610EB" w14:textId="77777777" w:rsidR="00AD1F28" w:rsidRDefault="00AD1F28" w:rsidP="00AD1F28">
      <w:pPr>
        <w:pStyle w:val="Heading2"/>
        <w:numPr>
          <w:ilvl w:val="0"/>
          <w:numId w:val="0"/>
        </w:numPr>
        <w:jc w:val="center"/>
        <w:rPr>
          <w:shd w:val="clear" w:color="auto" w:fill="FFFF66"/>
        </w:rPr>
      </w:pPr>
    </w:p>
    <w:p w14:paraId="637805D2" w14:textId="2B84E385" w:rsidR="00B45130" w:rsidRDefault="00AD1F28" w:rsidP="00200E60">
      <w:pPr>
        <w:pStyle w:val="Heading2"/>
        <w:numPr>
          <w:ilvl w:val="0"/>
          <w:numId w:val="0"/>
        </w:numPr>
        <w:jc w:val="center"/>
      </w:pPr>
      <w:r w:rsidRPr="00A04003">
        <w:t xml:space="preserve">Authority's reference number: </w:t>
      </w:r>
      <w:r w:rsidR="00285A06" w:rsidRPr="00285A06">
        <w:t>DN485700</w:t>
      </w:r>
    </w:p>
    <w:p w14:paraId="463F29E8" w14:textId="77777777" w:rsidR="00AD1F28" w:rsidRDefault="00AD1F28" w:rsidP="00200E60">
      <w:pPr>
        <w:pStyle w:val="Heading2"/>
        <w:numPr>
          <w:ilvl w:val="0"/>
          <w:numId w:val="0"/>
        </w:numPr>
        <w:jc w:val="center"/>
      </w:pPr>
    </w:p>
    <w:p w14:paraId="437A8E3E" w14:textId="3F15065F" w:rsidR="00200E60" w:rsidRDefault="00200E60" w:rsidP="00200E60">
      <w:pPr>
        <w:pStyle w:val="Heading2"/>
        <w:numPr>
          <w:ilvl w:val="0"/>
          <w:numId w:val="0"/>
        </w:numPr>
        <w:jc w:val="center"/>
      </w:pPr>
      <w:r>
        <w:t xml:space="preserve">Deadline for </w:t>
      </w:r>
      <w:r w:rsidR="005D7098">
        <w:t>Tenders</w:t>
      </w:r>
      <w:r w:rsidR="004E51D1">
        <w:t xml:space="preserve"> to be received:  </w:t>
      </w:r>
      <w:r w:rsidR="009249ED">
        <w:t>24th July</w:t>
      </w:r>
      <w:r w:rsidR="00290714">
        <w:rPr>
          <w:i/>
          <w:iCs/>
        </w:rPr>
        <w:t xml:space="preserve"> </w:t>
      </w:r>
      <w:r w:rsidR="00290714" w:rsidRPr="00290714">
        <w:t xml:space="preserve">2020 at </w:t>
      </w:r>
      <w:r w:rsidR="009249ED">
        <w:t>4</w:t>
      </w:r>
      <w:r w:rsidR="00290714" w:rsidRPr="00290714">
        <w:t>pm</w:t>
      </w:r>
    </w:p>
    <w:p w14:paraId="3B7B4B86" w14:textId="6389724B" w:rsidR="00B45130" w:rsidRDefault="00B45130" w:rsidP="00200E60">
      <w:pPr>
        <w:pStyle w:val="Heading2"/>
        <w:numPr>
          <w:ilvl w:val="0"/>
          <w:numId w:val="0"/>
        </w:numPr>
        <w:jc w:val="center"/>
      </w:pPr>
    </w:p>
    <w:p w14:paraId="2AF28535" w14:textId="34ED138D" w:rsidR="00DE7A20" w:rsidRDefault="00DE7A20" w:rsidP="00200E60">
      <w:pPr>
        <w:pStyle w:val="Heading2"/>
        <w:numPr>
          <w:ilvl w:val="0"/>
          <w:numId w:val="0"/>
        </w:numPr>
        <w:jc w:val="center"/>
      </w:pPr>
    </w:p>
    <w:p w14:paraId="0613E523" w14:textId="444A2C2F" w:rsidR="00DE7A20" w:rsidRDefault="00DE7A20" w:rsidP="00200E60">
      <w:pPr>
        <w:pStyle w:val="Heading2"/>
        <w:numPr>
          <w:ilvl w:val="0"/>
          <w:numId w:val="0"/>
        </w:numPr>
        <w:jc w:val="center"/>
      </w:pPr>
    </w:p>
    <w:p w14:paraId="6C8DD0F3" w14:textId="1795FE3B" w:rsidR="00DE7A20" w:rsidRDefault="00DE7A20" w:rsidP="00200E60">
      <w:pPr>
        <w:pStyle w:val="Heading2"/>
        <w:numPr>
          <w:ilvl w:val="0"/>
          <w:numId w:val="0"/>
        </w:numPr>
        <w:jc w:val="center"/>
      </w:pPr>
    </w:p>
    <w:p w14:paraId="7046CBF6" w14:textId="670B94DA" w:rsidR="00DE7A20" w:rsidRDefault="00DE7A20" w:rsidP="00200E60">
      <w:pPr>
        <w:pStyle w:val="Heading2"/>
        <w:numPr>
          <w:ilvl w:val="0"/>
          <w:numId w:val="0"/>
        </w:numPr>
        <w:jc w:val="center"/>
      </w:pPr>
    </w:p>
    <w:p w14:paraId="425A4C08" w14:textId="1D23AAC5" w:rsidR="00DE7A20" w:rsidRDefault="00DE7A20" w:rsidP="00200E60">
      <w:pPr>
        <w:pStyle w:val="Heading2"/>
        <w:numPr>
          <w:ilvl w:val="0"/>
          <w:numId w:val="0"/>
        </w:numPr>
        <w:jc w:val="center"/>
      </w:pPr>
    </w:p>
    <w:p w14:paraId="7C5B1590" w14:textId="4D5738E3" w:rsidR="00DE7A20" w:rsidRDefault="00DE7A20" w:rsidP="00200E60">
      <w:pPr>
        <w:pStyle w:val="Heading2"/>
        <w:numPr>
          <w:ilvl w:val="0"/>
          <w:numId w:val="0"/>
        </w:numPr>
        <w:jc w:val="center"/>
      </w:pPr>
    </w:p>
    <w:p w14:paraId="262E34CF" w14:textId="55ACA298" w:rsidR="00DE7A20" w:rsidRDefault="00DE7A20" w:rsidP="00200E60">
      <w:pPr>
        <w:pStyle w:val="Heading2"/>
        <w:numPr>
          <w:ilvl w:val="0"/>
          <w:numId w:val="0"/>
        </w:numPr>
        <w:jc w:val="center"/>
      </w:pPr>
    </w:p>
    <w:p w14:paraId="5AE6804D" w14:textId="57D4F711" w:rsidR="00DE7A20" w:rsidRDefault="00DE7A20" w:rsidP="00200E60">
      <w:pPr>
        <w:pStyle w:val="Heading2"/>
        <w:numPr>
          <w:ilvl w:val="0"/>
          <w:numId w:val="0"/>
        </w:numPr>
        <w:jc w:val="center"/>
      </w:pPr>
    </w:p>
    <w:p w14:paraId="20173300" w14:textId="77777777" w:rsidR="00DE7A20" w:rsidRDefault="00DE7A20" w:rsidP="00200E60">
      <w:pPr>
        <w:pStyle w:val="Heading2"/>
        <w:numPr>
          <w:ilvl w:val="0"/>
          <w:numId w:val="0"/>
        </w:numPr>
        <w:jc w:val="center"/>
      </w:pPr>
    </w:p>
    <w:p w14:paraId="0CA5E612" w14:textId="77777777" w:rsidR="00D674AE" w:rsidRDefault="00D674AE" w:rsidP="00200E60">
      <w:pPr>
        <w:pStyle w:val="Heading2"/>
        <w:numPr>
          <w:ilvl w:val="0"/>
          <w:numId w:val="0"/>
        </w:numPr>
        <w:jc w:val="center"/>
        <w:rPr>
          <w:b/>
        </w:rPr>
      </w:pPr>
    </w:p>
    <w:p w14:paraId="4EA702DE" w14:textId="1DCA0A89" w:rsidR="00B45130" w:rsidRPr="00B45130" w:rsidRDefault="00D674AE" w:rsidP="00D674AE">
      <w:pPr>
        <w:spacing w:after="240"/>
        <w:jc w:val="center"/>
        <w:rPr>
          <w:b/>
        </w:rPr>
      </w:pPr>
      <w:r>
        <w:rPr>
          <w:b/>
        </w:rPr>
        <w:br w:type="page"/>
      </w:r>
      <w:r w:rsidR="00AD0C96">
        <w:rPr>
          <w:b/>
        </w:rPr>
        <w:lastRenderedPageBreak/>
        <w:t>SECTION</w:t>
      </w:r>
      <w:r w:rsidR="00B45130">
        <w:rPr>
          <w:b/>
        </w:rPr>
        <w:t xml:space="preserve"> A – INSTRUCTIONS </w:t>
      </w:r>
      <w:r w:rsidR="00647144">
        <w:rPr>
          <w:b/>
        </w:rPr>
        <w:t>AND INFORMATION</w:t>
      </w:r>
    </w:p>
    <w:p w14:paraId="61829076" w14:textId="06433159" w:rsidR="000F79D6" w:rsidRDefault="000F79D6">
      <w:pPr>
        <w:spacing w:after="240"/>
        <w:jc w:val="left"/>
        <w:rPr>
          <w:rFonts w:eastAsia="Times New Roman" w:cs="Times New Roman"/>
          <w:color w:val="000000" w:themeColor="text1"/>
          <w:lang w:eastAsia="en-GB"/>
        </w:rPr>
      </w:pPr>
    </w:p>
    <w:p w14:paraId="78356A93" w14:textId="77777777" w:rsidR="005B59B7" w:rsidRDefault="005B59B7" w:rsidP="00401FF0">
      <w:pPr>
        <w:pStyle w:val="TOC1"/>
      </w:pPr>
      <w:r w:rsidRPr="005B59B7">
        <w:t>TABLE OF CONTENTS</w:t>
      </w:r>
    </w:p>
    <w:p w14:paraId="47BA5145" w14:textId="5A287BC9" w:rsidR="005B59B7" w:rsidRPr="001F110F" w:rsidRDefault="005B59B7" w:rsidP="001F110F">
      <w:pPr>
        <w:pStyle w:val="TOC1"/>
        <w:spacing w:line="360" w:lineRule="auto"/>
        <w:rPr>
          <w:rFonts w:asciiTheme="minorHAnsi" w:eastAsiaTheme="minorEastAsia" w:hAnsiTheme="minorHAnsi" w:cstheme="minorBidi"/>
          <w:b w:val="0"/>
          <w:noProof/>
          <w:color w:val="auto"/>
          <w:sz w:val="22"/>
          <w:szCs w:val="22"/>
        </w:rPr>
      </w:pPr>
      <w:r w:rsidRPr="001F110F">
        <w:rPr>
          <w:b w:val="0"/>
        </w:rPr>
        <w:fldChar w:fldCharType="begin"/>
      </w:r>
      <w:r w:rsidRPr="001F110F">
        <w:rPr>
          <w:b w:val="0"/>
        </w:rPr>
        <w:instrText xml:space="preserve"> TOC \h \z \t "Main Heading,1,M&amp;R Numbered Heading 1,1" </w:instrText>
      </w:r>
      <w:r w:rsidRPr="001F110F">
        <w:rPr>
          <w:b w:val="0"/>
        </w:rPr>
        <w:fldChar w:fldCharType="separate"/>
      </w:r>
      <w:hyperlink w:anchor="_Toc403556506" w:history="1">
        <w:r w:rsidRPr="001F110F">
          <w:rPr>
            <w:rStyle w:val="Hyperlink"/>
            <w:b w:val="0"/>
            <w:noProof/>
            <w14:scene3d>
              <w14:camera w14:prst="orthographicFront"/>
              <w14:lightRig w14:rig="threePt" w14:dir="t">
                <w14:rot w14:lat="0" w14:lon="0" w14:rev="0"/>
              </w14:lightRig>
            </w14:scene3d>
          </w:rPr>
          <w:t>1</w:t>
        </w:r>
        <w:r w:rsidRPr="001F110F">
          <w:rPr>
            <w:rFonts w:asciiTheme="minorHAnsi" w:eastAsiaTheme="minorEastAsia" w:hAnsiTheme="minorHAnsi" w:cstheme="minorBidi"/>
            <w:b w:val="0"/>
            <w:noProof/>
            <w:color w:val="auto"/>
            <w:sz w:val="22"/>
            <w:szCs w:val="22"/>
          </w:rPr>
          <w:tab/>
        </w:r>
        <w:r w:rsidRPr="001F110F">
          <w:rPr>
            <w:rStyle w:val="Hyperlink"/>
            <w:b w:val="0"/>
            <w:noProof/>
          </w:rPr>
          <w:t>INTRODUCTION AND BACKGROUND</w:t>
        </w:r>
        <w:r w:rsidRPr="001F110F">
          <w:rPr>
            <w:b w:val="0"/>
            <w:noProof/>
            <w:webHidden/>
          </w:rPr>
          <w:tab/>
        </w:r>
        <w:r w:rsidRPr="001F110F">
          <w:rPr>
            <w:b w:val="0"/>
            <w:noProof/>
            <w:webHidden/>
          </w:rPr>
          <w:fldChar w:fldCharType="begin"/>
        </w:r>
        <w:r w:rsidRPr="001F110F">
          <w:rPr>
            <w:b w:val="0"/>
            <w:noProof/>
            <w:webHidden/>
          </w:rPr>
          <w:instrText xml:space="preserve"> PAGEREF _Toc403556506 \h </w:instrText>
        </w:r>
        <w:r w:rsidRPr="001F110F">
          <w:rPr>
            <w:b w:val="0"/>
            <w:noProof/>
            <w:webHidden/>
          </w:rPr>
        </w:r>
        <w:r w:rsidRPr="001F110F">
          <w:rPr>
            <w:b w:val="0"/>
            <w:noProof/>
            <w:webHidden/>
          </w:rPr>
          <w:fldChar w:fldCharType="separate"/>
        </w:r>
        <w:r w:rsidR="00D674AE">
          <w:rPr>
            <w:b w:val="0"/>
            <w:noProof/>
            <w:webHidden/>
          </w:rPr>
          <w:t>1</w:t>
        </w:r>
        <w:r w:rsidRPr="001F110F">
          <w:rPr>
            <w:b w:val="0"/>
            <w:noProof/>
            <w:webHidden/>
          </w:rPr>
          <w:fldChar w:fldCharType="end"/>
        </w:r>
      </w:hyperlink>
    </w:p>
    <w:p w14:paraId="14911025" w14:textId="5398A2DF" w:rsidR="005B59B7" w:rsidRPr="001F110F" w:rsidRDefault="001E72EB" w:rsidP="001F110F">
      <w:pPr>
        <w:pStyle w:val="TOC1"/>
        <w:spacing w:line="360" w:lineRule="auto"/>
        <w:rPr>
          <w:rFonts w:asciiTheme="minorHAnsi" w:eastAsiaTheme="minorEastAsia" w:hAnsiTheme="minorHAnsi" w:cstheme="minorBidi"/>
          <w:b w:val="0"/>
          <w:noProof/>
          <w:color w:val="auto"/>
          <w:sz w:val="22"/>
          <w:szCs w:val="22"/>
        </w:rPr>
      </w:pPr>
      <w:hyperlink w:anchor="_Toc403556507" w:history="1">
        <w:r w:rsidR="005B59B7" w:rsidRPr="001F110F">
          <w:rPr>
            <w:rStyle w:val="Hyperlink"/>
            <w:b w:val="0"/>
            <w:noProof/>
            <w14:scene3d>
              <w14:camera w14:prst="orthographicFront"/>
              <w14:lightRig w14:rig="threePt" w14:dir="t">
                <w14:rot w14:lat="0" w14:lon="0" w14:rev="0"/>
              </w14:lightRig>
            </w14:scene3d>
          </w:rPr>
          <w:t>2</w:t>
        </w:r>
        <w:r w:rsidR="005B59B7" w:rsidRPr="001F110F">
          <w:rPr>
            <w:rFonts w:asciiTheme="minorHAnsi" w:eastAsiaTheme="minorEastAsia" w:hAnsiTheme="minorHAnsi" w:cstheme="minorBidi"/>
            <w:b w:val="0"/>
            <w:noProof/>
            <w:color w:val="auto"/>
            <w:sz w:val="22"/>
            <w:szCs w:val="22"/>
          </w:rPr>
          <w:tab/>
        </w:r>
        <w:r w:rsidR="005B59B7" w:rsidRPr="001F110F">
          <w:rPr>
            <w:rStyle w:val="Hyperlink"/>
            <w:b w:val="0"/>
            <w:noProof/>
          </w:rPr>
          <w:t>TENDER TIMETABLE</w:t>
        </w:r>
        <w:r w:rsidR="005B59B7" w:rsidRPr="001F110F">
          <w:rPr>
            <w:b w:val="0"/>
            <w:noProof/>
            <w:webHidden/>
          </w:rPr>
          <w:tab/>
        </w:r>
        <w:r w:rsidR="005B59B7" w:rsidRPr="001F110F">
          <w:rPr>
            <w:b w:val="0"/>
            <w:noProof/>
            <w:webHidden/>
          </w:rPr>
          <w:fldChar w:fldCharType="begin"/>
        </w:r>
        <w:r w:rsidR="005B59B7" w:rsidRPr="001F110F">
          <w:rPr>
            <w:b w:val="0"/>
            <w:noProof/>
            <w:webHidden/>
          </w:rPr>
          <w:instrText xml:space="preserve"> PAGEREF _Toc403556507 \h </w:instrText>
        </w:r>
        <w:r w:rsidR="005B59B7" w:rsidRPr="001F110F">
          <w:rPr>
            <w:b w:val="0"/>
            <w:noProof/>
            <w:webHidden/>
          </w:rPr>
        </w:r>
        <w:r w:rsidR="005B59B7" w:rsidRPr="001F110F">
          <w:rPr>
            <w:b w:val="0"/>
            <w:noProof/>
            <w:webHidden/>
          </w:rPr>
          <w:fldChar w:fldCharType="separate"/>
        </w:r>
        <w:r w:rsidR="00D674AE">
          <w:rPr>
            <w:b w:val="0"/>
            <w:noProof/>
            <w:webHidden/>
          </w:rPr>
          <w:t>5</w:t>
        </w:r>
        <w:r w:rsidR="005B59B7" w:rsidRPr="001F110F">
          <w:rPr>
            <w:b w:val="0"/>
            <w:noProof/>
            <w:webHidden/>
          </w:rPr>
          <w:fldChar w:fldCharType="end"/>
        </w:r>
      </w:hyperlink>
    </w:p>
    <w:p w14:paraId="6E48C503" w14:textId="25BDBA54" w:rsidR="005B59B7" w:rsidRPr="001F110F" w:rsidRDefault="001E72EB" w:rsidP="001F110F">
      <w:pPr>
        <w:pStyle w:val="TOC1"/>
        <w:spacing w:line="360" w:lineRule="auto"/>
        <w:rPr>
          <w:rFonts w:asciiTheme="minorHAnsi" w:eastAsiaTheme="minorEastAsia" w:hAnsiTheme="minorHAnsi" w:cstheme="minorBidi"/>
          <w:b w:val="0"/>
          <w:noProof/>
          <w:color w:val="auto"/>
          <w:sz w:val="22"/>
          <w:szCs w:val="22"/>
        </w:rPr>
      </w:pPr>
      <w:hyperlink w:anchor="_Toc403556508" w:history="1">
        <w:r w:rsidR="005B59B7" w:rsidRPr="001F110F">
          <w:rPr>
            <w:rStyle w:val="Hyperlink"/>
            <w:b w:val="0"/>
            <w:noProof/>
            <w14:scene3d>
              <w14:camera w14:prst="orthographicFront"/>
              <w14:lightRig w14:rig="threePt" w14:dir="t">
                <w14:rot w14:lat="0" w14:lon="0" w14:rev="0"/>
              </w14:lightRig>
            </w14:scene3d>
          </w:rPr>
          <w:t>3</w:t>
        </w:r>
        <w:r w:rsidR="005B59B7" w:rsidRPr="001F110F">
          <w:rPr>
            <w:rFonts w:asciiTheme="minorHAnsi" w:eastAsiaTheme="minorEastAsia" w:hAnsiTheme="minorHAnsi" w:cstheme="minorBidi"/>
            <w:b w:val="0"/>
            <w:noProof/>
            <w:color w:val="auto"/>
            <w:sz w:val="22"/>
            <w:szCs w:val="22"/>
          </w:rPr>
          <w:tab/>
        </w:r>
        <w:r w:rsidR="005B59B7" w:rsidRPr="001F110F">
          <w:rPr>
            <w:rStyle w:val="Hyperlink"/>
            <w:b w:val="0"/>
            <w:noProof/>
          </w:rPr>
          <w:t>INSTRUCTIONS TO BIDDERS</w:t>
        </w:r>
        <w:r w:rsidR="005B59B7" w:rsidRPr="001F110F">
          <w:rPr>
            <w:b w:val="0"/>
            <w:noProof/>
            <w:webHidden/>
          </w:rPr>
          <w:tab/>
        </w:r>
        <w:r w:rsidR="005B59B7" w:rsidRPr="001F110F">
          <w:rPr>
            <w:b w:val="0"/>
            <w:noProof/>
            <w:webHidden/>
          </w:rPr>
          <w:fldChar w:fldCharType="begin"/>
        </w:r>
        <w:r w:rsidR="005B59B7" w:rsidRPr="001F110F">
          <w:rPr>
            <w:b w:val="0"/>
            <w:noProof/>
            <w:webHidden/>
          </w:rPr>
          <w:instrText xml:space="preserve"> PAGEREF _Toc403556508 \h </w:instrText>
        </w:r>
        <w:r w:rsidR="005B59B7" w:rsidRPr="001F110F">
          <w:rPr>
            <w:b w:val="0"/>
            <w:noProof/>
            <w:webHidden/>
          </w:rPr>
        </w:r>
        <w:r w:rsidR="005B59B7" w:rsidRPr="001F110F">
          <w:rPr>
            <w:b w:val="0"/>
            <w:noProof/>
            <w:webHidden/>
          </w:rPr>
          <w:fldChar w:fldCharType="separate"/>
        </w:r>
        <w:r w:rsidR="00D674AE">
          <w:rPr>
            <w:b w:val="0"/>
            <w:noProof/>
            <w:webHidden/>
          </w:rPr>
          <w:t>6</w:t>
        </w:r>
        <w:r w:rsidR="005B59B7" w:rsidRPr="001F110F">
          <w:rPr>
            <w:b w:val="0"/>
            <w:noProof/>
            <w:webHidden/>
          </w:rPr>
          <w:fldChar w:fldCharType="end"/>
        </w:r>
      </w:hyperlink>
    </w:p>
    <w:p w14:paraId="020F847A" w14:textId="502BF3BE" w:rsidR="005B59B7" w:rsidRPr="001F110F" w:rsidRDefault="001E72EB" w:rsidP="001F110F">
      <w:pPr>
        <w:pStyle w:val="TOC1"/>
        <w:spacing w:line="360" w:lineRule="auto"/>
        <w:rPr>
          <w:rFonts w:asciiTheme="minorHAnsi" w:eastAsiaTheme="minorEastAsia" w:hAnsiTheme="minorHAnsi" w:cstheme="minorBidi"/>
          <w:b w:val="0"/>
          <w:noProof/>
          <w:color w:val="auto"/>
          <w:sz w:val="22"/>
          <w:szCs w:val="22"/>
        </w:rPr>
      </w:pPr>
      <w:hyperlink w:anchor="_Toc403556509" w:history="1">
        <w:r w:rsidR="005B59B7" w:rsidRPr="001F110F">
          <w:rPr>
            <w:rStyle w:val="Hyperlink"/>
            <w:b w:val="0"/>
            <w:noProof/>
            <w14:scene3d>
              <w14:camera w14:prst="orthographicFront"/>
              <w14:lightRig w14:rig="threePt" w14:dir="t">
                <w14:rot w14:lat="0" w14:lon="0" w14:rev="0"/>
              </w14:lightRig>
            </w14:scene3d>
          </w:rPr>
          <w:t>4</w:t>
        </w:r>
        <w:r w:rsidR="005B59B7" w:rsidRPr="001F110F">
          <w:rPr>
            <w:rFonts w:asciiTheme="minorHAnsi" w:eastAsiaTheme="minorEastAsia" w:hAnsiTheme="minorHAnsi" w:cstheme="minorBidi"/>
            <w:b w:val="0"/>
            <w:noProof/>
            <w:color w:val="auto"/>
            <w:sz w:val="22"/>
            <w:szCs w:val="22"/>
          </w:rPr>
          <w:tab/>
        </w:r>
        <w:r w:rsidR="005B59B7" w:rsidRPr="001F110F">
          <w:rPr>
            <w:rStyle w:val="Hyperlink"/>
            <w:b w:val="0"/>
            <w:noProof/>
          </w:rPr>
          <w:t>TENDER EVALUATION METHODOLOGY AND CRITERIA</w:t>
        </w:r>
        <w:r w:rsidR="005B59B7" w:rsidRPr="001F110F">
          <w:rPr>
            <w:b w:val="0"/>
            <w:noProof/>
            <w:webHidden/>
          </w:rPr>
          <w:tab/>
        </w:r>
        <w:r w:rsidR="005B59B7" w:rsidRPr="001F110F">
          <w:rPr>
            <w:b w:val="0"/>
            <w:noProof/>
            <w:webHidden/>
          </w:rPr>
          <w:fldChar w:fldCharType="begin"/>
        </w:r>
        <w:r w:rsidR="005B59B7" w:rsidRPr="001F110F">
          <w:rPr>
            <w:b w:val="0"/>
            <w:noProof/>
            <w:webHidden/>
          </w:rPr>
          <w:instrText xml:space="preserve"> PAGEREF _Toc403556509 \h </w:instrText>
        </w:r>
        <w:r w:rsidR="005B59B7" w:rsidRPr="001F110F">
          <w:rPr>
            <w:b w:val="0"/>
            <w:noProof/>
            <w:webHidden/>
          </w:rPr>
        </w:r>
        <w:r w:rsidR="005B59B7" w:rsidRPr="001F110F">
          <w:rPr>
            <w:b w:val="0"/>
            <w:noProof/>
            <w:webHidden/>
          </w:rPr>
          <w:fldChar w:fldCharType="separate"/>
        </w:r>
        <w:r w:rsidR="00D674AE">
          <w:rPr>
            <w:b w:val="0"/>
            <w:noProof/>
            <w:webHidden/>
          </w:rPr>
          <w:t>6</w:t>
        </w:r>
        <w:r w:rsidR="005B59B7" w:rsidRPr="001F110F">
          <w:rPr>
            <w:b w:val="0"/>
            <w:noProof/>
            <w:webHidden/>
          </w:rPr>
          <w:fldChar w:fldCharType="end"/>
        </w:r>
      </w:hyperlink>
    </w:p>
    <w:p w14:paraId="0140BFCD" w14:textId="3BD2D6FA" w:rsidR="005B59B7" w:rsidRPr="001F110F" w:rsidRDefault="001E72EB" w:rsidP="001F110F">
      <w:pPr>
        <w:pStyle w:val="TOC1"/>
        <w:spacing w:line="360" w:lineRule="auto"/>
        <w:rPr>
          <w:rFonts w:asciiTheme="minorHAnsi" w:eastAsiaTheme="minorEastAsia" w:hAnsiTheme="minorHAnsi" w:cstheme="minorBidi"/>
          <w:b w:val="0"/>
          <w:noProof/>
          <w:color w:val="auto"/>
          <w:sz w:val="22"/>
          <w:szCs w:val="22"/>
        </w:rPr>
      </w:pPr>
      <w:hyperlink w:anchor="_Toc403556511" w:history="1">
        <w:r w:rsidR="00401FF0" w:rsidRPr="001F110F">
          <w:rPr>
            <w:rStyle w:val="Hyperlink"/>
            <w:b w:val="0"/>
            <w:noProof/>
          </w:rPr>
          <w:t xml:space="preserve">ANNEX A1 </w:t>
        </w:r>
        <w:r w:rsidR="005B59B7" w:rsidRPr="001F110F">
          <w:rPr>
            <w:rStyle w:val="Hyperlink"/>
            <w:b w:val="0"/>
            <w:noProof/>
          </w:rPr>
          <w:t>NHS TERMS AND CONDITIONS</w:t>
        </w:r>
        <w:r w:rsidR="005B59B7" w:rsidRPr="001F110F">
          <w:rPr>
            <w:b w:val="0"/>
            <w:noProof/>
            <w:webHidden/>
          </w:rPr>
          <w:tab/>
        </w:r>
        <w:r w:rsidR="005B59B7" w:rsidRPr="001F110F">
          <w:rPr>
            <w:b w:val="0"/>
            <w:noProof/>
            <w:webHidden/>
          </w:rPr>
          <w:fldChar w:fldCharType="begin"/>
        </w:r>
        <w:r w:rsidR="005B59B7" w:rsidRPr="001F110F">
          <w:rPr>
            <w:b w:val="0"/>
            <w:noProof/>
            <w:webHidden/>
          </w:rPr>
          <w:instrText xml:space="preserve"> PAGEREF _Toc403556511 \h </w:instrText>
        </w:r>
        <w:r w:rsidR="005B59B7" w:rsidRPr="001F110F">
          <w:rPr>
            <w:b w:val="0"/>
            <w:noProof/>
            <w:webHidden/>
          </w:rPr>
        </w:r>
        <w:r w:rsidR="005B59B7" w:rsidRPr="001F110F">
          <w:rPr>
            <w:b w:val="0"/>
            <w:noProof/>
            <w:webHidden/>
          </w:rPr>
          <w:fldChar w:fldCharType="separate"/>
        </w:r>
        <w:r w:rsidR="00D674AE">
          <w:rPr>
            <w:b w:val="0"/>
            <w:noProof/>
            <w:webHidden/>
          </w:rPr>
          <w:t>13</w:t>
        </w:r>
        <w:r w:rsidR="005B59B7" w:rsidRPr="001F110F">
          <w:rPr>
            <w:b w:val="0"/>
            <w:noProof/>
            <w:webHidden/>
          </w:rPr>
          <w:fldChar w:fldCharType="end"/>
        </w:r>
      </w:hyperlink>
    </w:p>
    <w:p w14:paraId="2BA226A1" w14:textId="77777777" w:rsidR="00AD0C96" w:rsidRPr="001F110F" w:rsidRDefault="005B59B7" w:rsidP="001F110F">
      <w:pPr>
        <w:pStyle w:val="Heading2"/>
        <w:numPr>
          <w:ilvl w:val="0"/>
          <w:numId w:val="0"/>
        </w:numPr>
        <w:spacing w:line="360" w:lineRule="auto"/>
      </w:pPr>
      <w:r w:rsidRPr="001F110F">
        <w:fldChar w:fldCharType="end"/>
      </w:r>
    </w:p>
    <w:p w14:paraId="17AD93B2" w14:textId="77777777" w:rsidR="008306CC" w:rsidRDefault="008306CC" w:rsidP="008306CC">
      <w:pPr>
        <w:pStyle w:val="TOC3"/>
        <w:ind w:left="0"/>
      </w:pPr>
    </w:p>
    <w:p w14:paraId="0DE4B5B7" w14:textId="77777777" w:rsidR="00897556" w:rsidRDefault="00897556" w:rsidP="00AD0C96">
      <w:pPr>
        <w:pStyle w:val="Heading2"/>
        <w:numPr>
          <w:ilvl w:val="0"/>
          <w:numId w:val="0"/>
        </w:numPr>
        <w:jc w:val="center"/>
        <w:rPr>
          <w:i/>
          <w:shd w:val="clear" w:color="auto" w:fill="FFFF66"/>
        </w:rPr>
      </w:pPr>
    </w:p>
    <w:p w14:paraId="66204FF1" w14:textId="77777777" w:rsidR="00897556" w:rsidRDefault="00897556" w:rsidP="00897556">
      <w:pPr>
        <w:rPr>
          <w:shd w:val="clear" w:color="auto" w:fill="FFFF66"/>
        </w:rPr>
      </w:pPr>
    </w:p>
    <w:p w14:paraId="2DBF0D7D" w14:textId="77777777" w:rsidR="00ED0968" w:rsidRDefault="00ED0968" w:rsidP="00200E60">
      <w:pPr>
        <w:pStyle w:val="Heading2"/>
        <w:numPr>
          <w:ilvl w:val="0"/>
          <w:numId w:val="0"/>
        </w:numPr>
        <w:jc w:val="center"/>
      </w:pPr>
    </w:p>
    <w:p w14:paraId="6B62F1B3" w14:textId="77777777" w:rsidR="00ED0968" w:rsidRDefault="00ED0968" w:rsidP="00200E60">
      <w:pPr>
        <w:pStyle w:val="Heading2"/>
        <w:numPr>
          <w:ilvl w:val="0"/>
          <w:numId w:val="0"/>
        </w:numPr>
        <w:jc w:val="center"/>
      </w:pPr>
    </w:p>
    <w:p w14:paraId="02F2C34E" w14:textId="77777777" w:rsidR="00B02442" w:rsidRDefault="00727643">
      <w:pPr>
        <w:spacing w:after="240"/>
        <w:jc w:val="left"/>
        <w:sectPr w:rsidR="00B02442" w:rsidSect="00B02442">
          <w:headerReference w:type="default" r:id="rId12"/>
          <w:footerReference w:type="default" r:id="rId13"/>
          <w:headerReference w:type="first" r:id="rId14"/>
          <w:footerReference w:type="first" r:id="rId15"/>
          <w:type w:val="continuous"/>
          <w:pgSz w:w="11907" w:h="16840" w:code="9"/>
          <w:pgMar w:top="1418" w:right="1418" w:bottom="1418" w:left="1418" w:header="709" w:footer="567" w:gutter="0"/>
          <w:pgNumType w:start="1"/>
          <w:cols w:space="708"/>
          <w:titlePg/>
          <w:docGrid w:linePitch="360"/>
        </w:sectPr>
      </w:pPr>
      <w:r>
        <w:br w:type="page"/>
      </w:r>
    </w:p>
    <w:p w14:paraId="285F405B" w14:textId="77777777" w:rsidR="003E3276" w:rsidRPr="008F3D2C" w:rsidRDefault="003E3276" w:rsidP="00172AE4">
      <w:pPr>
        <w:pStyle w:val="MRNumberedHeading1"/>
        <w:numPr>
          <w:ilvl w:val="0"/>
          <w:numId w:val="19"/>
        </w:numPr>
        <w:tabs>
          <w:tab w:val="clear" w:pos="798"/>
          <w:tab w:val="num" w:pos="709"/>
        </w:tabs>
        <w:ind w:hanging="798"/>
        <w:rPr>
          <w:sz w:val="20"/>
          <w:szCs w:val="20"/>
        </w:rPr>
      </w:pPr>
      <w:bookmarkStart w:id="0" w:name="_Toc403556501"/>
      <w:bookmarkStart w:id="1" w:name="_Toc403556506"/>
      <w:r w:rsidRPr="008F3D2C">
        <w:rPr>
          <w:sz w:val="20"/>
          <w:szCs w:val="20"/>
        </w:rPr>
        <w:lastRenderedPageBreak/>
        <w:t>INTRODUCTION AND BACKGROUND</w:t>
      </w:r>
      <w:bookmarkEnd w:id="0"/>
      <w:bookmarkEnd w:id="1"/>
    </w:p>
    <w:p w14:paraId="18ABBBE5" w14:textId="1C167D62" w:rsidR="003E3276" w:rsidRPr="007724D1" w:rsidRDefault="00646E0D" w:rsidP="006B54D6">
      <w:pPr>
        <w:pStyle w:val="MRNumberedHeading2"/>
      </w:pPr>
      <w:bookmarkStart w:id="2" w:name="_Toc403555077"/>
      <w:r>
        <w:t>Health Education England</w:t>
      </w:r>
      <w:r w:rsidR="003E3276" w:rsidRPr="007724D1">
        <w:t xml:space="preserve"> ("</w:t>
      </w:r>
      <w:r w:rsidR="00B012D5" w:rsidRPr="00B012D5">
        <w:rPr>
          <w:b/>
        </w:rPr>
        <w:t>the</w:t>
      </w:r>
      <w:r w:rsidR="00B012D5">
        <w:t xml:space="preserve"> </w:t>
      </w:r>
      <w:r w:rsidR="003E3276" w:rsidRPr="007724D1">
        <w:rPr>
          <w:b/>
        </w:rPr>
        <w:t>Authority</w:t>
      </w:r>
      <w:r w:rsidR="003E3276" w:rsidRPr="007724D1">
        <w:t xml:space="preserve">") is issuing this </w:t>
      </w:r>
      <w:r w:rsidR="00D66E43">
        <w:t>invitation to t</w:t>
      </w:r>
      <w:r w:rsidR="003E3276" w:rsidRPr="007724D1">
        <w:t>ender ("</w:t>
      </w:r>
      <w:r w:rsidR="003E3276" w:rsidRPr="007724D1">
        <w:rPr>
          <w:b/>
        </w:rPr>
        <w:t>ITT</w:t>
      </w:r>
      <w:r w:rsidR="003E3276" w:rsidRPr="007724D1">
        <w:t xml:space="preserve">") in connection with the competitive </w:t>
      </w:r>
      <w:r w:rsidR="003E3276" w:rsidRPr="003F585D">
        <w:t xml:space="preserve">procurement </w:t>
      </w:r>
      <w:r w:rsidR="001D6EDE" w:rsidRPr="003F585D">
        <w:rPr>
          <w:rFonts w:cs="Arial"/>
        </w:rPr>
        <w:t>of design services for the Genomics Education Programme</w:t>
      </w:r>
      <w:r w:rsidR="003E3276" w:rsidRPr="003F585D">
        <w:t>.</w:t>
      </w:r>
      <w:r w:rsidR="003E3276" w:rsidRPr="007724D1">
        <w:t xml:space="preserve">  </w:t>
      </w:r>
      <w:bookmarkEnd w:id="2"/>
    </w:p>
    <w:p w14:paraId="27E058D9" w14:textId="77777777" w:rsidR="003E3276" w:rsidRPr="007724D1" w:rsidRDefault="003E3276" w:rsidP="006B54D6">
      <w:pPr>
        <w:pStyle w:val="MRNumberedHeading2"/>
      </w:pPr>
      <w:bookmarkStart w:id="3" w:name="_Toc403555078"/>
      <w:r w:rsidRPr="007724D1">
        <w:t xml:space="preserve">This ITT Section A contains further </w:t>
      </w:r>
      <w:r w:rsidRPr="003E3276">
        <w:t>information</w:t>
      </w:r>
      <w:r w:rsidRPr="007724D1">
        <w:t xml:space="preserve"> about the procurement process.</w:t>
      </w:r>
      <w:bookmarkEnd w:id="3"/>
      <w:r w:rsidRPr="007724D1">
        <w:t xml:space="preserve">  </w:t>
      </w:r>
    </w:p>
    <w:p w14:paraId="3D83C5EE" w14:textId="77777777" w:rsidR="003E3276" w:rsidRDefault="003E3276" w:rsidP="006B54D6">
      <w:pPr>
        <w:pStyle w:val="MRNumberedHeading2"/>
      </w:pPr>
      <w:bookmarkStart w:id="4" w:name="_Toc403555079"/>
      <w:r>
        <w:t>ITT Section B contains the questions that Bidders must complete. Each Bidder's response ("</w:t>
      </w:r>
      <w:r w:rsidRPr="00951656">
        <w:rPr>
          <w:b/>
          <w:bCs/>
        </w:rPr>
        <w:t>Tender</w:t>
      </w:r>
      <w:r>
        <w:rPr>
          <w:bCs/>
        </w:rPr>
        <w:t>"</w:t>
      </w:r>
      <w:r>
        <w:t>) should be detailed enough to allow the Authority to make an informed award decision.</w:t>
      </w:r>
      <w:bookmarkEnd w:id="4"/>
    </w:p>
    <w:p w14:paraId="1FAEEBE1" w14:textId="77777777" w:rsidR="003E3276" w:rsidRPr="00FB2FE9" w:rsidRDefault="00336D0E" w:rsidP="006B54D6">
      <w:pPr>
        <w:pStyle w:val="MRNumberedHeading2"/>
      </w:pPr>
      <w:bookmarkStart w:id="5" w:name="_Toc403555080"/>
      <w:r>
        <w:t>All T</w:t>
      </w:r>
      <w:r w:rsidR="003E3276">
        <w:t>enders must be returned no later th</w:t>
      </w:r>
      <w:r>
        <w:t>an the deadline for receipt of T</w:t>
      </w:r>
      <w:r w:rsidR="003E3276">
        <w:t>ender</w:t>
      </w:r>
      <w:r w:rsidR="00586006">
        <w:t>s</w:t>
      </w:r>
      <w:r w:rsidR="003E3276">
        <w:t xml:space="preserve"> specified on the front cover of this ITT.</w:t>
      </w:r>
      <w:bookmarkEnd w:id="5"/>
    </w:p>
    <w:p w14:paraId="29165566" w14:textId="41E2D0E7" w:rsidR="003E3276" w:rsidRDefault="003E3276" w:rsidP="006B54D6">
      <w:pPr>
        <w:pStyle w:val="MRNumberedHeading2"/>
      </w:pPr>
      <w:bookmarkStart w:id="6" w:name="_Toc403555081"/>
      <w:bookmarkStart w:id="7" w:name="_Ref406062423"/>
      <w:r>
        <w:t xml:space="preserve">The Authority is using the </w:t>
      </w:r>
      <w:r w:rsidR="003F585D">
        <w:t>ProContract Due North</w:t>
      </w:r>
      <w:r w:rsidR="00D66E43">
        <w:t xml:space="preserve"> e-t</w:t>
      </w:r>
      <w:r w:rsidR="0050545F">
        <w:t>endering</w:t>
      </w:r>
      <w:r>
        <w:t xml:space="preserve"> </w:t>
      </w:r>
      <w:r w:rsidR="00D66E43">
        <w:t>p</w:t>
      </w:r>
      <w:r w:rsidR="004230E7">
        <w:t>ortal</w:t>
      </w:r>
      <w:r>
        <w:t xml:space="preserve"> to conduct the procurement process</w:t>
      </w:r>
      <w:r w:rsidR="00A60BD1">
        <w:t xml:space="preserve"> ("</w:t>
      </w:r>
      <w:r w:rsidR="00A60BD1" w:rsidRPr="003219DA">
        <w:rPr>
          <w:b/>
        </w:rPr>
        <w:t xml:space="preserve">the </w:t>
      </w:r>
      <w:r w:rsidR="0050545F">
        <w:rPr>
          <w:b/>
        </w:rPr>
        <w:t xml:space="preserve">e-Tendering </w:t>
      </w:r>
      <w:r w:rsidR="00A60BD1" w:rsidRPr="003219DA">
        <w:rPr>
          <w:b/>
        </w:rPr>
        <w:t>Portal</w:t>
      </w:r>
      <w:r w:rsidR="00A60BD1">
        <w:t xml:space="preserve">"). </w:t>
      </w:r>
      <w:r>
        <w:t>All communica</w:t>
      </w:r>
      <w:r w:rsidR="00336D0E">
        <w:t>tions (including submission of T</w:t>
      </w:r>
      <w:r>
        <w:t xml:space="preserve">enders) should be carried out via the </w:t>
      </w:r>
      <w:r w:rsidR="0050545F">
        <w:t xml:space="preserve">e-Tendering </w:t>
      </w:r>
      <w:r w:rsidR="004230E7">
        <w:t>Portal</w:t>
      </w:r>
      <w:r>
        <w:t>.</w:t>
      </w:r>
      <w:bookmarkEnd w:id="6"/>
      <w:bookmarkEnd w:id="7"/>
    </w:p>
    <w:p w14:paraId="6E991F9B" w14:textId="77777777" w:rsidR="006111AA" w:rsidRDefault="006111AA" w:rsidP="006B54D6">
      <w:pPr>
        <w:pStyle w:val="MRNumberedHeading2"/>
      </w:pPr>
      <w:r>
        <w:t>This procurement process is not regulated by</w:t>
      </w:r>
      <w:r w:rsidR="00014E77">
        <w:t xml:space="preserve"> P</w:t>
      </w:r>
      <w:r w:rsidR="008C5577">
        <w:t>arts 2 and 3 of</w:t>
      </w:r>
      <w:r>
        <w:t xml:space="preserve"> the P</w:t>
      </w:r>
      <w:r w:rsidR="003B1EDB">
        <w:t>ublic Contracts Regulations 2015</w:t>
      </w:r>
      <w:r>
        <w:t>.</w:t>
      </w:r>
    </w:p>
    <w:p w14:paraId="4A2F2A09" w14:textId="77777777" w:rsidR="00247F0F" w:rsidRPr="003E3276" w:rsidRDefault="00247F0F" w:rsidP="00337295">
      <w:pPr>
        <w:pStyle w:val="Heading1"/>
        <w:spacing w:before="240" w:after="0"/>
        <w:ind w:left="709"/>
        <w:rPr>
          <w:rFonts w:eastAsiaTheme="minorHAnsi"/>
        </w:rPr>
      </w:pPr>
      <w:bookmarkStart w:id="8" w:name="_Toc403555082"/>
      <w:r w:rsidRPr="003E3276">
        <w:rPr>
          <w:rFonts w:eastAsiaTheme="minorHAnsi"/>
        </w:rPr>
        <w:t>Contents of the ITT</w:t>
      </w:r>
      <w:bookmarkEnd w:id="8"/>
      <w:r w:rsidRPr="003E3276">
        <w:rPr>
          <w:rFonts w:eastAsiaTheme="minorHAnsi"/>
        </w:rPr>
        <w:t xml:space="preserve"> </w:t>
      </w:r>
    </w:p>
    <w:p w14:paraId="63EF5047" w14:textId="77777777" w:rsidR="00AD3446" w:rsidRPr="003E3276" w:rsidRDefault="00AD3446" w:rsidP="006B54D6">
      <w:pPr>
        <w:pStyle w:val="MRNumberedHeading2"/>
        <w:rPr>
          <w:b/>
        </w:rPr>
      </w:pPr>
      <w:bookmarkStart w:id="9" w:name="_Toc403555083"/>
      <w:bookmarkStart w:id="10" w:name="_Ref405452631"/>
      <w:r>
        <w:t>This ITT document consists of:</w:t>
      </w:r>
      <w:bookmarkEnd w:id="9"/>
      <w:bookmarkEnd w:id="10"/>
    </w:p>
    <w:p w14:paraId="680A4E5D" w14:textId="77777777" w:rsidR="003E3276" w:rsidRPr="00951656" w:rsidRDefault="003E3276" w:rsidP="006B54D6">
      <w:pPr>
        <w:pStyle w:val="MRNumberedHeading2"/>
        <w:numPr>
          <w:ilvl w:val="0"/>
          <w:numId w:val="0"/>
        </w:numPr>
        <w:ind w:left="720"/>
      </w:pPr>
    </w:p>
    <w:tbl>
      <w:tblPr>
        <w:tblStyle w:val="TableGrid"/>
        <w:tblW w:w="9214" w:type="dxa"/>
        <w:tblInd w:w="817" w:type="dxa"/>
        <w:tblLook w:val="04A0" w:firstRow="1" w:lastRow="0" w:firstColumn="1" w:lastColumn="0" w:noHBand="0" w:noVBand="1"/>
      </w:tblPr>
      <w:tblGrid>
        <w:gridCol w:w="1418"/>
        <w:gridCol w:w="5386"/>
        <w:gridCol w:w="2410"/>
      </w:tblGrid>
      <w:tr w:rsidR="00653DCC" w14:paraId="7629F13F" w14:textId="77777777" w:rsidTr="00337295">
        <w:trPr>
          <w:gridAfter w:val="1"/>
          <w:wAfter w:w="2410" w:type="dxa"/>
        </w:trPr>
        <w:tc>
          <w:tcPr>
            <w:tcW w:w="6804" w:type="dxa"/>
            <w:gridSpan w:val="2"/>
            <w:shd w:val="clear" w:color="auto" w:fill="BFBFBF" w:themeFill="background1" w:themeFillShade="BF"/>
          </w:tcPr>
          <w:p w14:paraId="1F28A0E1" w14:textId="77777777" w:rsidR="005957B2" w:rsidRPr="00953B6C" w:rsidRDefault="00AD0C96" w:rsidP="00AD3446">
            <w:pPr>
              <w:pStyle w:val="Heading2"/>
              <w:numPr>
                <w:ilvl w:val="0"/>
                <w:numId w:val="0"/>
              </w:numPr>
              <w:outlineLvl w:val="1"/>
              <w:rPr>
                <w:b/>
              </w:rPr>
            </w:pPr>
            <w:r>
              <w:rPr>
                <w:b/>
              </w:rPr>
              <w:t>Section</w:t>
            </w:r>
            <w:r w:rsidR="00653DCC" w:rsidRPr="00953B6C">
              <w:rPr>
                <w:b/>
              </w:rPr>
              <w:t xml:space="preserve"> A</w:t>
            </w:r>
            <w:r w:rsidR="00953B6C" w:rsidRPr="00953B6C">
              <w:rPr>
                <w:b/>
              </w:rPr>
              <w:t xml:space="preserve"> – Instructions and information</w:t>
            </w:r>
          </w:p>
        </w:tc>
      </w:tr>
      <w:tr w:rsidR="00653DCC" w14:paraId="55E5C48F" w14:textId="77777777" w:rsidTr="00337295">
        <w:trPr>
          <w:gridAfter w:val="1"/>
          <w:wAfter w:w="2410" w:type="dxa"/>
        </w:trPr>
        <w:tc>
          <w:tcPr>
            <w:tcW w:w="1418" w:type="dxa"/>
          </w:tcPr>
          <w:p w14:paraId="649841BE" w14:textId="77777777" w:rsidR="00653DCC" w:rsidRDefault="00653DCC" w:rsidP="00AD3446">
            <w:pPr>
              <w:pStyle w:val="Heading2"/>
              <w:numPr>
                <w:ilvl w:val="0"/>
                <w:numId w:val="0"/>
              </w:numPr>
              <w:jc w:val="center"/>
              <w:outlineLvl w:val="1"/>
            </w:pPr>
            <w:r>
              <w:t>1</w:t>
            </w:r>
          </w:p>
        </w:tc>
        <w:tc>
          <w:tcPr>
            <w:tcW w:w="5386" w:type="dxa"/>
          </w:tcPr>
          <w:p w14:paraId="794199FA" w14:textId="77777777" w:rsidR="00653DCC" w:rsidRDefault="00653DCC" w:rsidP="00AD3446">
            <w:pPr>
              <w:pStyle w:val="Heading2"/>
              <w:numPr>
                <w:ilvl w:val="0"/>
                <w:numId w:val="0"/>
              </w:numPr>
              <w:outlineLvl w:val="1"/>
            </w:pPr>
            <w:r>
              <w:t>Introduction and background</w:t>
            </w:r>
          </w:p>
          <w:p w14:paraId="19219836" w14:textId="77777777" w:rsidR="009464EA" w:rsidRDefault="009464EA" w:rsidP="00AD3446">
            <w:pPr>
              <w:pStyle w:val="Heading2"/>
              <w:numPr>
                <w:ilvl w:val="0"/>
                <w:numId w:val="0"/>
              </w:numPr>
              <w:outlineLvl w:val="1"/>
            </w:pPr>
          </w:p>
        </w:tc>
      </w:tr>
      <w:tr w:rsidR="00653DCC" w14:paraId="28ECE2CC" w14:textId="77777777" w:rsidTr="00337295">
        <w:trPr>
          <w:gridAfter w:val="1"/>
          <w:wAfter w:w="2410" w:type="dxa"/>
        </w:trPr>
        <w:tc>
          <w:tcPr>
            <w:tcW w:w="1418" w:type="dxa"/>
          </w:tcPr>
          <w:p w14:paraId="18F999B5" w14:textId="77777777" w:rsidR="00653DCC" w:rsidRDefault="00653DCC" w:rsidP="00AD3446">
            <w:pPr>
              <w:pStyle w:val="Heading2"/>
              <w:numPr>
                <w:ilvl w:val="0"/>
                <w:numId w:val="0"/>
              </w:numPr>
              <w:jc w:val="center"/>
              <w:outlineLvl w:val="1"/>
            </w:pPr>
            <w:r>
              <w:t>2</w:t>
            </w:r>
          </w:p>
        </w:tc>
        <w:tc>
          <w:tcPr>
            <w:tcW w:w="5386" w:type="dxa"/>
          </w:tcPr>
          <w:p w14:paraId="2773D34F" w14:textId="77777777" w:rsidR="00653DCC" w:rsidRDefault="00653DCC" w:rsidP="00AD3446">
            <w:pPr>
              <w:pStyle w:val="Heading2"/>
              <w:numPr>
                <w:ilvl w:val="0"/>
                <w:numId w:val="0"/>
              </w:numPr>
              <w:outlineLvl w:val="1"/>
            </w:pPr>
            <w:r>
              <w:t>Tender timetable</w:t>
            </w:r>
            <w:r w:rsidR="00A57D02">
              <w:t xml:space="preserve"> </w:t>
            </w:r>
          </w:p>
          <w:p w14:paraId="296FEF7D" w14:textId="77777777" w:rsidR="009464EA" w:rsidRDefault="009464EA" w:rsidP="00AD3446">
            <w:pPr>
              <w:pStyle w:val="Heading2"/>
              <w:numPr>
                <w:ilvl w:val="0"/>
                <w:numId w:val="0"/>
              </w:numPr>
              <w:outlineLvl w:val="1"/>
            </w:pPr>
          </w:p>
        </w:tc>
      </w:tr>
      <w:tr w:rsidR="00653DCC" w14:paraId="0F8881D7" w14:textId="77777777" w:rsidTr="00337295">
        <w:trPr>
          <w:gridAfter w:val="1"/>
          <w:wAfter w:w="2410" w:type="dxa"/>
        </w:trPr>
        <w:tc>
          <w:tcPr>
            <w:tcW w:w="1418" w:type="dxa"/>
          </w:tcPr>
          <w:p w14:paraId="5FCD5EC4" w14:textId="77777777" w:rsidR="00653DCC" w:rsidRDefault="00653DCC" w:rsidP="00AD3446">
            <w:pPr>
              <w:pStyle w:val="Heading2"/>
              <w:numPr>
                <w:ilvl w:val="0"/>
                <w:numId w:val="0"/>
              </w:numPr>
              <w:jc w:val="center"/>
              <w:outlineLvl w:val="1"/>
            </w:pPr>
            <w:r>
              <w:t>3</w:t>
            </w:r>
          </w:p>
        </w:tc>
        <w:tc>
          <w:tcPr>
            <w:tcW w:w="5386" w:type="dxa"/>
          </w:tcPr>
          <w:p w14:paraId="69F1525B" w14:textId="77777777" w:rsidR="00653DCC" w:rsidRDefault="00223555" w:rsidP="00AD3446">
            <w:pPr>
              <w:pStyle w:val="Heading2"/>
              <w:numPr>
                <w:ilvl w:val="0"/>
                <w:numId w:val="0"/>
              </w:numPr>
              <w:outlineLvl w:val="1"/>
            </w:pPr>
            <w:r>
              <w:t xml:space="preserve">Instructions to </w:t>
            </w:r>
            <w:r w:rsidR="00E7163F">
              <w:t>Bidders</w:t>
            </w:r>
            <w:r>
              <w:t xml:space="preserve"> </w:t>
            </w:r>
          </w:p>
          <w:p w14:paraId="7194DBDC" w14:textId="77777777" w:rsidR="009464EA" w:rsidRDefault="009464EA" w:rsidP="00AD3446">
            <w:pPr>
              <w:pStyle w:val="Heading2"/>
              <w:numPr>
                <w:ilvl w:val="0"/>
                <w:numId w:val="0"/>
              </w:numPr>
              <w:outlineLvl w:val="1"/>
            </w:pPr>
          </w:p>
        </w:tc>
      </w:tr>
      <w:tr w:rsidR="00653DCC" w14:paraId="1038068D" w14:textId="77777777" w:rsidTr="00337295">
        <w:trPr>
          <w:gridAfter w:val="1"/>
          <w:wAfter w:w="2410" w:type="dxa"/>
        </w:trPr>
        <w:tc>
          <w:tcPr>
            <w:tcW w:w="1418" w:type="dxa"/>
          </w:tcPr>
          <w:p w14:paraId="2598DEE6" w14:textId="77777777" w:rsidR="00653DCC" w:rsidRDefault="00653DCC" w:rsidP="00AD3446">
            <w:pPr>
              <w:pStyle w:val="Heading2"/>
              <w:numPr>
                <w:ilvl w:val="0"/>
                <w:numId w:val="0"/>
              </w:numPr>
              <w:jc w:val="center"/>
              <w:outlineLvl w:val="1"/>
            </w:pPr>
            <w:r>
              <w:t>4</w:t>
            </w:r>
          </w:p>
        </w:tc>
        <w:tc>
          <w:tcPr>
            <w:tcW w:w="5386" w:type="dxa"/>
          </w:tcPr>
          <w:p w14:paraId="1756A20B" w14:textId="77777777" w:rsidR="009464EA" w:rsidRDefault="008731E8" w:rsidP="00AD3446">
            <w:pPr>
              <w:pStyle w:val="Heading2"/>
              <w:numPr>
                <w:ilvl w:val="0"/>
                <w:numId w:val="0"/>
              </w:numPr>
              <w:outlineLvl w:val="1"/>
            </w:pPr>
            <w:r>
              <w:t>Tender evaluation methodology and criteria</w:t>
            </w:r>
          </w:p>
          <w:p w14:paraId="29D6B04F" w14:textId="77777777" w:rsidR="00653DCC" w:rsidRDefault="008731E8" w:rsidP="00AD3446">
            <w:pPr>
              <w:pStyle w:val="Heading2"/>
              <w:numPr>
                <w:ilvl w:val="0"/>
                <w:numId w:val="0"/>
              </w:numPr>
              <w:outlineLvl w:val="1"/>
            </w:pPr>
            <w:r>
              <w:t xml:space="preserve"> </w:t>
            </w:r>
          </w:p>
        </w:tc>
      </w:tr>
      <w:tr w:rsidR="00953B6C" w14:paraId="1D3CAE51" w14:textId="77777777" w:rsidTr="00337295">
        <w:trPr>
          <w:gridAfter w:val="1"/>
          <w:wAfter w:w="2410" w:type="dxa"/>
        </w:trPr>
        <w:tc>
          <w:tcPr>
            <w:tcW w:w="1418" w:type="dxa"/>
          </w:tcPr>
          <w:p w14:paraId="71062209" w14:textId="77777777" w:rsidR="00953B6C" w:rsidRDefault="00953B6C" w:rsidP="00AD3446">
            <w:pPr>
              <w:pStyle w:val="Heading2"/>
              <w:numPr>
                <w:ilvl w:val="0"/>
                <w:numId w:val="0"/>
              </w:numPr>
              <w:jc w:val="center"/>
              <w:outlineLvl w:val="1"/>
            </w:pPr>
            <w:bookmarkStart w:id="11" w:name="_Ref405453364"/>
            <w:r>
              <w:t xml:space="preserve">Annex </w:t>
            </w:r>
            <w:r w:rsidR="006E3892">
              <w:t>A</w:t>
            </w:r>
            <w:r>
              <w:t>1</w:t>
            </w:r>
            <w:bookmarkEnd w:id="11"/>
          </w:p>
        </w:tc>
        <w:tc>
          <w:tcPr>
            <w:tcW w:w="5386" w:type="dxa"/>
          </w:tcPr>
          <w:p w14:paraId="20C85C0A" w14:textId="77777777" w:rsidR="009464EA" w:rsidRDefault="006E3892" w:rsidP="00AD3446">
            <w:pPr>
              <w:pStyle w:val="Heading2"/>
              <w:numPr>
                <w:ilvl w:val="0"/>
                <w:numId w:val="0"/>
              </w:numPr>
              <w:outlineLvl w:val="1"/>
            </w:pPr>
            <w:r>
              <w:t xml:space="preserve">NHS Terms and Conditions </w:t>
            </w:r>
          </w:p>
          <w:p w14:paraId="769D0D3C" w14:textId="77777777" w:rsidR="006E3892" w:rsidRDefault="006E3892" w:rsidP="00AD3446">
            <w:pPr>
              <w:pStyle w:val="Heading2"/>
              <w:numPr>
                <w:ilvl w:val="0"/>
                <w:numId w:val="0"/>
              </w:numPr>
              <w:outlineLvl w:val="1"/>
            </w:pPr>
          </w:p>
        </w:tc>
      </w:tr>
      <w:tr w:rsidR="00953B6C" w14:paraId="3307F58F" w14:textId="77777777" w:rsidTr="00337295">
        <w:trPr>
          <w:gridAfter w:val="1"/>
          <w:wAfter w:w="2410" w:type="dxa"/>
        </w:trPr>
        <w:tc>
          <w:tcPr>
            <w:tcW w:w="6804" w:type="dxa"/>
            <w:gridSpan w:val="2"/>
            <w:shd w:val="clear" w:color="auto" w:fill="BFBFBF" w:themeFill="background1" w:themeFillShade="BF"/>
          </w:tcPr>
          <w:p w14:paraId="797A5F9F" w14:textId="77777777" w:rsidR="005957B2" w:rsidRPr="00953B6C" w:rsidRDefault="00AD0C96" w:rsidP="00AD3446">
            <w:pPr>
              <w:pStyle w:val="Heading2"/>
              <w:numPr>
                <w:ilvl w:val="0"/>
                <w:numId w:val="0"/>
              </w:numPr>
              <w:outlineLvl w:val="1"/>
              <w:rPr>
                <w:b/>
              </w:rPr>
            </w:pPr>
            <w:r>
              <w:rPr>
                <w:b/>
              </w:rPr>
              <w:t>Section</w:t>
            </w:r>
            <w:r w:rsidR="00953B6C" w:rsidRPr="00953B6C">
              <w:rPr>
                <w:b/>
              </w:rPr>
              <w:t xml:space="preserve"> B – Tender Schedules (to be returned by </w:t>
            </w:r>
            <w:r w:rsidR="00C52D6B">
              <w:rPr>
                <w:b/>
              </w:rPr>
              <w:t>B</w:t>
            </w:r>
            <w:r w:rsidR="00CF6B32">
              <w:rPr>
                <w:b/>
              </w:rPr>
              <w:t>idder</w:t>
            </w:r>
            <w:r w:rsidR="00953B6C" w:rsidRPr="00953B6C">
              <w:rPr>
                <w:b/>
              </w:rPr>
              <w:t>s)</w:t>
            </w:r>
          </w:p>
        </w:tc>
      </w:tr>
      <w:tr w:rsidR="00953B6C" w14:paraId="6A71570B" w14:textId="77777777" w:rsidTr="00337295">
        <w:trPr>
          <w:gridAfter w:val="1"/>
          <w:wAfter w:w="2410" w:type="dxa"/>
        </w:trPr>
        <w:tc>
          <w:tcPr>
            <w:tcW w:w="1418" w:type="dxa"/>
          </w:tcPr>
          <w:p w14:paraId="5A3B1781" w14:textId="77777777" w:rsidR="00953B6C" w:rsidRDefault="006E3892" w:rsidP="00AD3446">
            <w:pPr>
              <w:pStyle w:val="Heading2"/>
              <w:numPr>
                <w:ilvl w:val="0"/>
                <w:numId w:val="0"/>
              </w:numPr>
              <w:jc w:val="center"/>
              <w:outlineLvl w:val="1"/>
            </w:pPr>
            <w:r>
              <w:t>Annex B</w:t>
            </w:r>
            <w:r w:rsidR="00953B6C">
              <w:t>1</w:t>
            </w:r>
          </w:p>
        </w:tc>
        <w:tc>
          <w:tcPr>
            <w:tcW w:w="5386" w:type="dxa"/>
          </w:tcPr>
          <w:p w14:paraId="4E74739C" w14:textId="77777777" w:rsidR="00953B6C" w:rsidRDefault="006E3892" w:rsidP="00AD3446">
            <w:pPr>
              <w:pStyle w:val="Heading2"/>
              <w:numPr>
                <w:ilvl w:val="0"/>
                <w:numId w:val="0"/>
              </w:numPr>
              <w:outlineLvl w:val="1"/>
            </w:pPr>
            <w:r>
              <w:t>Eligibility</w:t>
            </w:r>
            <w:r w:rsidR="00C573A4">
              <w:t xml:space="preserve"> questions and response</w:t>
            </w:r>
            <w:r w:rsidR="00706A06">
              <w:t>s</w:t>
            </w:r>
          </w:p>
          <w:p w14:paraId="54CD245A" w14:textId="77777777" w:rsidR="009464EA" w:rsidRDefault="009464EA" w:rsidP="00AD3446">
            <w:pPr>
              <w:pStyle w:val="Heading2"/>
              <w:numPr>
                <w:ilvl w:val="0"/>
                <w:numId w:val="0"/>
              </w:numPr>
              <w:outlineLvl w:val="1"/>
            </w:pPr>
          </w:p>
        </w:tc>
      </w:tr>
      <w:tr w:rsidR="00C573A4" w14:paraId="23F75426" w14:textId="77777777" w:rsidTr="00337295">
        <w:trPr>
          <w:gridAfter w:val="1"/>
          <w:wAfter w:w="2410" w:type="dxa"/>
        </w:trPr>
        <w:tc>
          <w:tcPr>
            <w:tcW w:w="1418" w:type="dxa"/>
          </w:tcPr>
          <w:p w14:paraId="1C2E9EC2" w14:textId="77777777" w:rsidR="00C573A4" w:rsidRDefault="006E3892" w:rsidP="00AD3446">
            <w:pPr>
              <w:pStyle w:val="Heading2"/>
              <w:numPr>
                <w:ilvl w:val="0"/>
                <w:numId w:val="0"/>
              </w:numPr>
              <w:jc w:val="center"/>
              <w:outlineLvl w:val="1"/>
            </w:pPr>
            <w:r>
              <w:t>Annex B</w:t>
            </w:r>
            <w:r w:rsidR="00C573A4">
              <w:t>2</w:t>
            </w:r>
          </w:p>
        </w:tc>
        <w:tc>
          <w:tcPr>
            <w:tcW w:w="5386" w:type="dxa"/>
          </w:tcPr>
          <w:p w14:paraId="14B3538E" w14:textId="77777777" w:rsidR="009464EA" w:rsidRDefault="00636468" w:rsidP="00AD3446">
            <w:pPr>
              <w:pStyle w:val="Heading2"/>
              <w:numPr>
                <w:ilvl w:val="0"/>
                <w:numId w:val="0"/>
              </w:numPr>
              <w:outlineLvl w:val="1"/>
            </w:pPr>
            <w:r>
              <w:t>S</w:t>
            </w:r>
            <w:r w:rsidR="006E3892">
              <w:t>pecification</w:t>
            </w:r>
          </w:p>
          <w:p w14:paraId="1231BE67" w14:textId="77777777" w:rsidR="009464EA" w:rsidRDefault="009464EA" w:rsidP="00AD3446">
            <w:pPr>
              <w:pStyle w:val="Heading2"/>
              <w:numPr>
                <w:ilvl w:val="0"/>
                <w:numId w:val="0"/>
              </w:numPr>
              <w:outlineLvl w:val="1"/>
            </w:pPr>
          </w:p>
        </w:tc>
      </w:tr>
      <w:tr w:rsidR="00C573A4" w14:paraId="259AFF55" w14:textId="77777777" w:rsidTr="00337295">
        <w:trPr>
          <w:gridAfter w:val="1"/>
          <w:wAfter w:w="2410" w:type="dxa"/>
        </w:trPr>
        <w:tc>
          <w:tcPr>
            <w:tcW w:w="1418" w:type="dxa"/>
          </w:tcPr>
          <w:p w14:paraId="554CC43A" w14:textId="77777777" w:rsidR="00C573A4" w:rsidRDefault="006E3892" w:rsidP="00AD3446">
            <w:pPr>
              <w:pStyle w:val="Heading2"/>
              <w:numPr>
                <w:ilvl w:val="0"/>
                <w:numId w:val="0"/>
              </w:numPr>
              <w:jc w:val="center"/>
              <w:outlineLvl w:val="1"/>
            </w:pPr>
            <w:r>
              <w:t>Annex B3</w:t>
            </w:r>
          </w:p>
        </w:tc>
        <w:tc>
          <w:tcPr>
            <w:tcW w:w="5386" w:type="dxa"/>
          </w:tcPr>
          <w:p w14:paraId="04CD3167" w14:textId="77777777" w:rsidR="00C573A4" w:rsidRDefault="008D4F8F" w:rsidP="00AD3446">
            <w:pPr>
              <w:pStyle w:val="Heading2"/>
              <w:numPr>
                <w:ilvl w:val="0"/>
                <w:numId w:val="0"/>
              </w:numPr>
              <w:outlineLvl w:val="1"/>
            </w:pPr>
            <w:r>
              <w:t>Tender R</w:t>
            </w:r>
            <w:r w:rsidR="00A66B5D">
              <w:t xml:space="preserve">esponse </w:t>
            </w:r>
            <w:r>
              <w:t>D</w:t>
            </w:r>
            <w:r w:rsidR="00A66B5D">
              <w:t>ocument</w:t>
            </w:r>
          </w:p>
          <w:p w14:paraId="36FEB5B0" w14:textId="77777777" w:rsidR="009464EA" w:rsidRDefault="009464EA" w:rsidP="00AD3446">
            <w:pPr>
              <w:pStyle w:val="Heading2"/>
              <w:numPr>
                <w:ilvl w:val="0"/>
                <w:numId w:val="0"/>
              </w:numPr>
              <w:outlineLvl w:val="1"/>
            </w:pPr>
          </w:p>
        </w:tc>
      </w:tr>
      <w:tr w:rsidR="00C573A4" w14:paraId="6F28DA26" w14:textId="77777777" w:rsidTr="00337295">
        <w:trPr>
          <w:gridAfter w:val="1"/>
          <w:wAfter w:w="2410" w:type="dxa"/>
        </w:trPr>
        <w:tc>
          <w:tcPr>
            <w:tcW w:w="1418" w:type="dxa"/>
          </w:tcPr>
          <w:p w14:paraId="679B1AAE" w14:textId="77777777" w:rsidR="00C573A4" w:rsidRDefault="006E3892" w:rsidP="00AD3446">
            <w:pPr>
              <w:pStyle w:val="Heading2"/>
              <w:numPr>
                <w:ilvl w:val="0"/>
                <w:numId w:val="0"/>
              </w:numPr>
              <w:jc w:val="center"/>
              <w:outlineLvl w:val="1"/>
            </w:pPr>
            <w:r>
              <w:t>Annex B</w:t>
            </w:r>
            <w:r w:rsidR="00C573A4">
              <w:t>4</w:t>
            </w:r>
          </w:p>
        </w:tc>
        <w:tc>
          <w:tcPr>
            <w:tcW w:w="5386" w:type="dxa"/>
            <w:tcBorders>
              <w:bottom w:val="single" w:sz="4" w:space="0" w:color="auto"/>
            </w:tcBorders>
          </w:tcPr>
          <w:p w14:paraId="599A1223" w14:textId="77777777" w:rsidR="00C573A4" w:rsidRDefault="008D4F8F" w:rsidP="00AD3446">
            <w:pPr>
              <w:pStyle w:val="Heading2"/>
              <w:numPr>
                <w:ilvl w:val="0"/>
                <w:numId w:val="0"/>
              </w:numPr>
              <w:outlineLvl w:val="1"/>
            </w:pPr>
            <w:r>
              <w:t>Commercial S</w:t>
            </w:r>
            <w:r w:rsidR="00A66B5D">
              <w:t>chedule</w:t>
            </w:r>
          </w:p>
          <w:p w14:paraId="30D7AA69" w14:textId="77777777" w:rsidR="009464EA" w:rsidRDefault="009464EA" w:rsidP="00AD3446">
            <w:pPr>
              <w:pStyle w:val="Heading2"/>
              <w:numPr>
                <w:ilvl w:val="0"/>
                <w:numId w:val="0"/>
              </w:numPr>
              <w:outlineLvl w:val="1"/>
            </w:pPr>
          </w:p>
        </w:tc>
      </w:tr>
      <w:tr w:rsidR="009A3E29" w14:paraId="67F51ADF" w14:textId="77777777" w:rsidTr="00337295">
        <w:tc>
          <w:tcPr>
            <w:tcW w:w="1418" w:type="dxa"/>
          </w:tcPr>
          <w:p w14:paraId="450E6714" w14:textId="77777777" w:rsidR="009A3E29" w:rsidRDefault="006E3892" w:rsidP="00AD3446">
            <w:pPr>
              <w:pStyle w:val="Heading2"/>
              <w:numPr>
                <w:ilvl w:val="0"/>
                <w:numId w:val="0"/>
              </w:numPr>
              <w:jc w:val="center"/>
              <w:outlineLvl w:val="1"/>
            </w:pPr>
            <w:r>
              <w:t>Annex B</w:t>
            </w:r>
            <w:r w:rsidR="009A3E29">
              <w:t>5</w:t>
            </w:r>
          </w:p>
        </w:tc>
        <w:tc>
          <w:tcPr>
            <w:tcW w:w="5386" w:type="dxa"/>
            <w:tcBorders>
              <w:right w:val="single" w:sz="4" w:space="0" w:color="auto"/>
            </w:tcBorders>
          </w:tcPr>
          <w:p w14:paraId="0B4E9867" w14:textId="77777777" w:rsidR="009A3E29" w:rsidRDefault="00A66B5D" w:rsidP="00AD3446">
            <w:pPr>
              <w:pStyle w:val="Heading2"/>
              <w:numPr>
                <w:ilvl w:val="0"/>
                <w:numId w:val="0"/>
              </w:numPr>
              <w:outlineLvl w:val="1"/>
            </w:pPr>
            <w:r>
              <w:t>Confidential and commercially sensitive information</w:t>
            </w:r>
          </w:p>
          <w:p w14:paraId="7196D064" w14:textId="77777777" w:rsidR="009A3E29" w:rsidRDefault="009A3E29" w:rsidP="00AD3446">
            <w:pPr>
              <w:pStyle w:val="Heading2"/>
              <w:numPr>
                <w:ilvl w:val="0"/>
                <w:numId w:val="0"/>
              </w:numPr>
              <w:outlineLvl w:val="1"/>
            </w:pPr>
          </w:p>
        </w:tc>
        <w:tc>
          <w:tcPr>
            <w:tcW w:w="2410" w:type="dxa"/>
            <w:tcBorders>
              <w:top w:val="nil"/>
              <w:left w:val="single" w:sz="4" w:space="0" w:color="auto"/>
              <w:bottom w:val="nil"/>
              <w:right w:val="nil"/>
            </w:tcBorders>
          </w:tcPr>
          <w:p w14:paraId="34FF1C98" w14:textId="77777777" w:rsidR="009A3E29" w:rsidRPr="009A3E29" w:rsidRDefault="009A3E29" w:rsidP="00AD3446">
            <w:pPr>
              <w:pStyle w:val="Heading2"/>
              <w:numPr>
                <w:ilvl w:val="0"/>
                <w:numId w:val="0"/>
              </w:numPr>
              <w:jc w:val="right"/>
              <w:outlineLvl w:val="1"/>
              <w:rPr>
                <w:rFonts w:ascii="Arial Bold" w:hAnsi="Arial Bold"/>
                <w:color w:val="FF0000"/>
              </w:rPr>
            </w:pPr>
            <w:bookmarkStart w:id="12" w:name="handonesix"/>
            <w:bookmarkEnd w:id="12"/>
          </w:p>
        </w:tc>
      </w:tr>
      <w:tr w:rsidR="006E3892" w14:paraId="56D6D1B6" w14:textId="77777777" w:rsidTr="00337295">
        <w:tc>
          <w:tcPr>
            <w:tcW w:w="1418" w:type="dxa"/>
          </w:tcPr>
          <w:p w14:paraId="56735DA8" w14:textId="77777777" w:rsidR="006E3892" w:rsidRDefault="006E3892" w:rsidP="00AD3446">
            <w:pPr>
              <w:pStyle w:val="Heading2"/>
              <w:numPr>
                <w:ilvl w:val="0"/>
                <w:numId w:val="0"/>
              </w:numPr>
              <w:jc w:val="center"/>
              <w:outlineLvl w:val="1"/>
            </w:pPr>
            <w:r>
              <w:t>Annex B</w:t>
            </w:r>
            <w:r w:rsidR="00AD1F28">
              <w:t>6</w:t>
            </w:r>
          </w:p>
          <w:p w14:paraId="6D072C0D" w14:textId="77777777" w:rsidR="006E3892" w:rsidRDefault="006E3892" w:rsidP="00AD3446">
            <w:pPr>
              <w:pStyle w:val="Heading2"/>
              <w:numPr>
                <w:ilvl w:val="0"/>
                <w:numId w:val="0"/>
              </w:numPr>
              <w:jc w:val="center"/>
              <w:outlineLvl w:val="1"/>
            </w:pPr>
          </w:p>
        </w:tc>
        <w:tc>
          <w:tcPr>
            <w:tcW w:w="5386" w:type="dxa"/>
            <w:tcBorders>
              <w:right w:val="single" w:sz="4" w:space="0" w:color="auto"/>
            </w:tcBorders>
          </w:tcPr>
          <w:p w14:paraId="532A7057" w14:textId="77777777" w:rsidR="006E3892" w:rsidRDefault="006E3892" w:rsidP="00AD3446">
            <w:pPr>
              <w:pStyle w:val="Heading2"/>
              <w:numPr>
                <w:ilvl w:val="0"/>
                <w:numId w:val="0"/>
              </w:numPr>
              <w:outlineLvl w:val="1"/>
            </w:pPr>
            <w:r>
              <w:t>Form of Tender</w:t>
            </w:r>
          </w:p>
        </w:tc>
        <w:tc>
          <w:tcPr>
            <w:tcW w:w="2410" w:type="dxa"/>
            <w:tcBorders>
              <w:top w:val="nil"/>
              <w:left w:val="single" w:sz="4" w:space="0" w:color="auto"/>
              <w:bottom w:val="nil"/>
              <w:right w:val="nil"/>
            </w:tcBorders>
          </w:tcPr>
          <w:p w14:paraId="48A21919" w14:textId="77777777" w:rsidR="006E3892" w:rsidRDefault="006E3892" w:rsidP="00AD3446">
            <w:pPr>
              <w:pStyle w:val="Heading2"/>
              <w:numPr>
                <w:ilvl w:val="0"/>
                <w:numId w:val="0"/>
              </w:numPr>
              <w:jc w:val="right"/>
              <w:outlineLvl w:val="1"/>
            </w:pPr>
          </w:p>
        </w:tc>
      </w:tr>
    </w:tbl>
    <w:p w14:paraId="6BD18F9B" w14:textId="77777777" w:rsidR="003E3276" w:rsidRDefault="003E3276" w:rsidP="00247F0F">
      <w:pPr>
        <w:pStyle w:val="Heading2"/>
        <w:numPr>
          <w:ilvl w:val="0"/>
          <w:numId w:val="0"/>
        </w:numPr>
        <w:ind w:left="851"/>
        <w:rPr>
          <w:b/>
        </w:rPr>
      </w:pPr>
    </w:p>
    <w:p w14:paraId="0635FD5C" w14:textId="1FA9829E" w:rsidR="00247F0F" w:rsidRDefault="00247F0F" w:rsidP="00337295">
      <w:pPr>
        <w:pStyle w:val="Heading1"/>
        <w:spacing w:before="240" w:after="0"/>
        <w:ind w:left="709"/>
        <w:rPr>
          <w:b w:val="0"/>
        </w:rPr>
      </w:pPr>
      <w:bookmarkStart w:id="13" w:name="_Toc403555084"/>
      <w:r>
        <w:t xml:space="preserve">Introduction to </w:t>
      </w:r>
      <w:bookmarkEnd w:id="13"/>
      <w:r w:rsidR="00290714">
        <w:t>Health Education England [HEE]</w:t>
      </w:r>
      <w:r>
        <w:t xml:space="preserve"> </w:t>
      </w:r>
    </w:p>
    <w:p w14:paraId="5A0CC785" w14:textId="77777777" w:rsidR="00A67404" w:rsidRDefault="00A67404" w:rsidP="00A67404">
      <w:pPr>
        <w:pStyle w:val="MRNumberedHeading2"/>
        <w:rPr>
          <w:noProof/>
        </w:rPr>
      </w:pPr>
      <w:bookmarkStart w:id="14" w:name="_Toc403555086"/>
      <w:bookmarkStart w:id="15" w:name="_Ref405452668"/>
      <w:r>
        <w:rPr>
          <w:noProof/>
        </w:rPr>
        <w:t>Health Education England (HEE) exists for one reason only: to support the delivery of excellent healthcare and health improvement to the patients and public of England by ensuring that the workforce of today and tomorrow has the right numbers, skills, values and behaviours, at the right time and in the right place</w:t>
      </w:r>
    </w:p>
    <w:p w14:paraId="374F1375" w14:textId="77777777" w:rsidR="00A67404" w:rsidRDefault="00A67404" w:rsidP="00A67404">
      <w:pPr>
        <w:pStyle w:val="MRNumberedHeading2"/>
        <w:rPr>
          <w:noProof/>
        </w:rPr>
      </w:pPr>
      <w:r>
        <w:rPr>
          <w:noProof/>
        </w:rPr>
        <w:lastRenderedPageBreak/>
        <w:t>Originally established as a Special Health Authority in 2012, we are now a Non-Departmental Public Body (NDPB), as of 1 April 2015, under the provisions of the Care Act 2014.</w:t>
      </w:r>
    </w:p>
    <w:p w14:paraId="6FAA36AF" w14:textId="77777777" w:rsidR="00A67404" w:rsidRPr="000955F2" w:rsidRDefault="00A67404" w:rsidP="00A67404">
      <w:pPr>
        <w:pStyle w:val="MRNumberedHeading2"/>
        <w:rPr>
          <w:noProof/>
          <w:szCs w:val="20"/>
        </w:rPr>
      </w:pPr>
      <w:r>
        <w:rPr>
          <w:noProof/>
        </w:rPr>
        <w:t xml:space="preserve">We believe that the most important resource the NHS has is its people. Without a skilled workforce there is no NHS. More than 160,000 students are at this moment studying to be part of our future workforce. That includes doctors, nurses, midwives, paramedics, </w:t>
      </w:r>
      <w:r w:rsidRPr="000955F2">
        <w:rPr>
          <w:noProof/>
          <w:szCs w:val="20"/>
        </w:rPr>
        <w:t>physiotherapists and many more roles - in fact there are over 300 different types of jobs performed by more than one million people in the NHS.</w:t>
      </w:r>
    </w:p>
    <w:p w14:paraId="60E7B106" w14:textId="77777777" w:rsidR="003F585D" w:rsidRDefault="00A67404" w:rsidP="003F585D">
      <w:pPr>
        <w:pStyle w:val="MRNumberedHeading2"/>
        <w:rPr>
          <w:szCs w:val="20"/>
        </w:rPr>
      </w:pPr>
      <w:r w:rsidRPr="000955F2">
        <w:rPr>
          <w:noProof/>
          <w:szCs w:val="20"/>
        </w:rPr>
        <w:t xml:space="preserve">Our vision is to provide the right workforce, with the right skills and values, in the right place at the right time to better meet the needs and wants of patients - now and in the future. </w:t>
      </w:r>
      <w:bookmarkStart w:id="16" w:name="_Toc403555087"/>
      <w:bookmarkEnd w:id="14"/>
      <w:bookmarkEnd w:id="15"/>
    </w:p>
    <w:p w14:paraId="730FB2F2" w14:textId="337F0C45" w:rsidR="003F585D" w:rsidRPr="003F585D" w:rsidRDefault="003F585D" w:rsidP="00290714">
      <w:pPr>
        <w:pStyle w:val="MRNumberedHeading2"/>
        <w:numPr>
          <w:ilvl w:val="0"/>
          <w:numId w:val="0"/>
        </w:numPr>
        <w:ind w:left="720"/>
        <w:rPr>
          <w:szCs w:val="20"/>
        </w:rPr>
      </w:pPr>
      <w:r w:rsidRPr="003F585D">
        <w:rPr>
          <w:b/>
          <w:bCs/>
          <w:szCs w:val="20"/>
        </w:rPr>
        <w:t>The Genomics Education Programme [GEP]</w:t>
      </w:r>
    </w:p>
    <w:p w14:paraId="13320DE3" w14:textId="77777777" w:rsidR="003F585D" w:rsidRPr="003F585D" w:rsidRDefault="003F585D" w:rsidP="003F585D">
      <w:pPr>
        <w:pStyle w:val="MRNumberedHeading2"/>
        <w:rPr>
          <w:szCs w:val="20"/>
        </w:rPr>
      </w:pPr>
      <w:r w:rsidRPr="003F585D">
        <w:rPr>
          <w:szCs w:val="20"/>
        </w:rPr>
        <w:t>The Genomics Education Programme (GEP) was established in 2014 following an initial investment from the Department of Health to pump prime genomic education and training activity to support the delivery of the 100,000 Genomes Project. At the beginning of financial year 2018/19 the GEP became part of ‘business as usual’ within Health Education England (HEE) and, in collaboration with NHS England (NHSE), continues to support the newly launched NHS Genomic Medicine Service (GMS).</w:t>
      </w:r>
    </w:p>
    <w:p w14:paraId="25A2A36B" w14:textId="77777777" w:rsidR="003F585D" w:rsidRPr="003F585D" w:rsidRDefault="003F585D" w:rsidP="003F585D">
      <w:pPr>
        <w:pStyle w:val="MRNumberedHeading2"/>
        <w:rPr>
          <w:szCs w:val="20"/>
        </w:rPr>
      </w:pPr>
      <w:r w:rsidRPr="003F585D">
        <w:rPr>
          <w:szCs w:val="20"/>
        </w:rPr>
        <w:t xml:space="preserve">As part of its role in delivering education and training to the NHS workforce, the GEP promotes its courses and resources to the healthcare workforce in a variety of ways, as well as undertaking awareness-raising activity in its own right, with the aim of increasing ‘genomic literacy’ among the general workforce. A key component to this activity is using design assets both in print and online, which convey key messages around genomics while complying with HEE brand guidelines. While the GEP has some design expertise in house, the requirements regularly exceed our capacity. </w:t>
      </w:r>
    </w:p>
    <w:p w14:paraId="2C068BC8" w14:textId="191441D6" w:rsidR="003F585D" w:rsidRDefault="003F585D" w:rsidP="003F585D">
      <w:pPr>
        <w:pStyle w:val="MRNumberedHeading2"/>
        <w:rPr>
          <w:szCs w:val="20"/>
        </w:rPr>
      </w:pPr>
      <w:r w:rsidRPr="003F585D">
        <w:rPr>
          <w:szCs w:val="20"/>
        </w:rPr>
        <w:t xml:space="preserve">HEE is therefore inviting quotations from providers for the service commencing </w:t>
      </w:r>
      <w:r w:rsidR="00D30518">
        <w:rPr>
          <w:szCs w:val="20"/>
        </w:rPr>
        <w:t>3rd September</w:t>
      </w:r>
      <w:r w:rsidRPr="003F585D">
        <w:rPr>
          <w:szCs w:val="20"/>
        </w:rPr>
        <w:t xml:space="preserve"> for up to 2 years with possible extension for up to 1 year, dependant on GEP funding.</w:t>
      </w:r>
    </w:p>
    <w:p w14:paraId="1F07192B" w14:textId="0445A5B5" w:rsidR="003F585D" w:rsidRPr="003F585D" w:rsidRDefault="003F585D" w:rsidP="00290714">
      <w:pPr>
        <w:pStyle w:val="MRNumberedHeading2"/>
        <w:numPr>
          <w:ilvl w:val="0"/>
          <w:numId w:val="0"/>
        </w:numPr>
        <w:ind w:left="720"/>
        <w:rPr>
          <w:b/>
          <w:bCs/>
          <w:szCs w:val="20"/>
        </w:rPr>
      </w:pPr>
      <w:r w:rsidRPr="003F585D">
        <w:rPr>
          <w:b/>
          <w:bCs/>
          <w:szCs w:val="20"/>
        </w:rPr>
        <w:t>Scope of the Contract</w:t>
      </w:r>
    </w:p>
    <w:p w14:paraId="7F11508F" w14:textId="77777777" w:rsidR="003F585D" w:rsidRPr="003F585D" w:rsidRDefault="000955F2" w:rsidP="003F585D">
      <w:pPr>
        <w:pStyle w:val="MRNumberedHeading2"/>
        <w:rPr>
          <w:szCs w:val="20"/>
        </w:rPr>
      </w:pPr>
      <w:r w:rsidRPr="003F585D">
        <w:rPr>
          <w:rFonts w:cs="Arial"/>
          <w:color w:val="000000" w:themeColor="text1"/>
        </w:rPr>
        <w:t xml:space="preserve">The GEP develops a wide variety of </w:t>
      </w:r>
      <w:r w:rsidR="00674F1C" w:rsidRPr="003F585D">
        <w:rPr>
          <w:rFonts w:cs="Arial"/>
          <w:color w:val="000000" w:themeColor="text1"/>
        </w:rPr>
        <w:t xml:space="preserve">predominantly online </w:t>
      </w:r>
      <w:r w:rsidRPr="003F585D">
        <w:rPr>
          <w:rFonts w:cs="Arial"/>
          <w:color w:val="000000" w:themeColor="text1"/>
        </w:rPr>
        <w:t>educational</w:t>
      </w:r>
      <w:r w:rsidR="007F1D7B" w:rsidRPr="003F585D">
        <w:rPr>
          <w:rFonts w:cs="Arial"/>
          <w:color w:val="000000" w:themeColor="text1"/>
        </w:rPr>
        <w:t>,</w:t>
      </w:r>
      <w:r w:rsidRPr="003F585D">
        <w:rPr>
          <w:rFonts w:cs="Arial"/>
          <w:color w:val="000000" w:themeColor="text1"/>
        </w:rPr>
        <w:t xml:space="preserve"> training</w:t>
      </w:r>
      <w:r w:rsidR="007F1D7B" w:rsidRPr="003F585D">
        <w:rPr>
          <w:rFonts w:cs="Arial"/>
          <w:color w:val="000000" w:themeColor="text1"/>
        </w:rPr>
        <w:t xml:space="preserve"> and awareness-raising</w:t>
      </w:r>
      <w:r w:rsidRPr="003F585D">
        <w:rPr>
          <w:rFonts w:cs="Arial"/>
          <w:color w:val="000000" w:themeColor="text1"/>
        </w:rPr>
        <w:t xml:space="preserve"> content </w:t>
      </w:r>
      <w:r w:rsidR="00590834" w:rsidRPr="003F585D">
        <w:rPr>
          <w:rFonts w:cs="Arial"/>
          <w:color w:val="000000" w:themeColor="text1"/>
        </w:rPr>
        <w:t xml:space="preserve">about genomics in healthcare </w:t>
      </w:r>
      <w:r w:rsidRPr="003F585D">
        <w:rPr>
          <w:rFonts w:cs="Arial"/>
          <w:color w:val="000000" w:themeColor="text1"/>
        </w:rPr>
        <w:t xml:space="preserve">for </w:t>
      </w:r>
      <w:r w:rsidR="00590834" w:rsidRPr="003F585D">
        <w:rPr>
          <w:rFonts w:cs="Arial"/>
          <w:color w:val="000000" w:themeColor="text1"/>
        </w:rPr>
        <w:t>a wide range of</w:t>
      </w:r>
      <w:r w:rsidRPr="003F585D">
        <w:rPr>
          <w:rFonts w:cs="Arial"/>
          <w:color w:val="000000" w:themeColor="text1"/>
        </w:rPr>
        <w:t xml:space="preserve"> healthcare professional</w:t>
      </w:r>
      <w:r w:rsidR="00A927F6" w:rsidRPr="003F585D">
        <w:rPr>
          <w:rFonts w:cs="Arial"/>
          <w:color w:val="000000" w:themeColor="text1"/>
        </w:rPr>
        <w:t xml:space="preserve"> groups</w:t>
      </w:r>
      <w:r w:rsidR="00674F1C" w:rsidRPr="003F585D">
        <w:rPr>
          <w:rFonts w:cs="Arial"/>
          <w:color w:val="000000" w:themeColor="text1"/>
        </w:rPr>
        <w:t>. This ranges</w:t>
      </w:r>
      <w:r w:rsidR="007F1D7B" w:rsidRPr="003F585D">
        <w:rPr>
          <w:rFonts w:cs="Arial"/>
          <w:color w:val="000000" w:themeColor="text1"/>
        </w:rPr>
        <w:t xml:space="preserve"> from </w:t>
      </w:r>
      <w:r w:rsidR="00F74DFA" w:rsidRPr="003F585D">
        <w:rPr>
          <w:rFonts w:cs="Arial"/>
          <w:color w:val="000000" w:themeColor="text1"/>
        </w:rPr>
        <w:t>advanced</w:t>
      </w:r>
      <w:r w:rsidR="00590834" w:rsidRPr="003F585D">
        <w:rPr>
          <w:rFonts w:cs="Arial"/>
          <w:color w:val="000000" w:themeColor="text1"/>
        </w:rPr>
        <w:t xml:space="preserve"> </w:t>
      </w:r>
      <w:r w:rsidR="007F1D7B" w:rsidRPr="003F585D">
        <w:rPr>
          <w:rFonts w:cs="Arial"/>
          <w:color w:val="000000" w:themeColor="text1"/>
        </w:rPr>
        <w:t>training courses</w:t>
      </w:r>
      <w:r w:rsidR="0095027B" w:rsidRPr="003F585D">
        <w:rPr>
          <w:rFonts w:cs="Arial"/>
          <w:color w:val="000000" w:themeColor="text1"/>
        </w:rPr>
        <w:t xml:space="preserve"> for histopathologists and clinical scientists,</w:t>
      </w:r>
      <w:r w:rsidR="00590834" w:rsidRPr="003F585D">
        <w:rPr>
          <w:rFonts w:cs="Arial"/>
          <w:color w:val="000000" w:themeColor="text1"/>
        </w:rPr>
        <w:t xml:space="preserve"> to </w:t>
      </w:r>
      <w:r w:rsidR="00F74DFA" w:rsidRPr="003F585D">
        <w:rPr>
          <w:rFonts w:cs="Arial"/>
          <w:color w:val="000000" w:themeColor="text1"/>
        </w:rPr>
        <w:t xml:space="preserve">introductory </w:t>
      </w:r>
      <w:r w:rsidR="00590834" w:rsidRPr="003F585D">
        <w:rPr>
          <w:rFonts w:cs="Arial"/>
          <w:color w:val="000000" w:themeColor="text1"/>
        </w:rPr>
        <w:t xml:space="preserve">bitesize resources for busy </w:t>
      </w:r>
      <w:r w:rsidR="00674F1C" w:rsidRPr="003F585D">
        <w:rPr>
          <w:rFonts w:cs="Arial"/>
          <w:color w:val="000000" w:themeColor="text1"/>
        </w:rPr>
        <w:t xml:space="preserve">GPs, </w:t>
      </w:r>
      <w:r w:rsidR="00590834" w:rsidRPr="003F585D">
        <w:rPr>
          <w:rFonts w:cs="Arial"/>
          <w:color w:val="000000" w:themeColor="text1"/>
        </w:rPr>
        <w:t>nurses and midwives</w:t>
      </w:r>
      <w:r w:rsidR="00A927F6" w:rsidRPr="003F585D">
        <w:rPr>
          <w:rFonts w:cs="Arial"/>
          <w:color w:val="000000" w:themeColor="text1"/>
        </w:rPr>
        <w:t xml:space="preserve">, as well as </w:t>
      </w:r>
      <w:r w:rsidR="00674F1C" w:rsidRPr="003F585D">
        <w:rPr>
          <w:rFonts w:cs="Arial"/>
          <w:color w:val="000000" w:themeColor="text1"/>
        </w:rPr>
        <w:t xml:space="preserve">a growing collection of </w:t>
      </w:r>
      <w:r w:rsidR="00EC7013" w:rsidRPr="003F585D">
        <w:rPr>
          <w:rFonts w:cs="Arial"/>
          <w:color w:val="000000" w:themeColor="text1"/>
        </w:rPr>
        <w:t>films</w:t>
      </w:r>
      <w:r w:rsidR="00E42CDF" w:rsidRPr="003F585D">
        <w:rPr>
          <w:rFonts w:cs="Arial"/>
          <w:color w:val="000000" w:themeColor="text1"/>
        </w:rPr>
        <w:t xml:space="preserve"> and</w:t>
      </w:r>
      <w:r w:rsidR="00EC7013" w:rsidRPr="003F585D">
        <w:rPr>
          <w:rFonts w:cs="Arial"/>
          <w:color w:val="000000" w:themeColor="text1"/>
        </w:rPr>
        <w:t xml:space="preserve"> animations</w:t>
      </w:r>
      <w:r w:rsidRPr="003F585D">
        <w:rPr>
          <w:rFonts w:cs="Arial"/>
          <w:color w:val="000000" w:themeColor="text1"/>
        </w:rPr>
        <w:t>. The programme recognises the importance of multimedia and social media in making its content as engaging, accessible and clear as possible.</w:t>
      </w:r>
      <w:r w:rsidR="007D0BB7" w:rsidRPr="003F585D">
        <w:rPr>
          <w:rFonts w:cs="Arial"/>
          <w:color w:val="000000" w:themeColor="text1"/>
        </w:rPr>
        <w:t xml:space="preserve"> Examples of our courses and resources can be found here:</w:t>
      </w:r>
    </w:p>
    <w:p w14:paraId="3DF4BE02" w14:textId="77777777" w:rsidR="003F585D" w:rsidRPr="003F585D" w:rsidRDefault="001E72EB" w:rsidP="003F585D">
      <w:pPr>
        <w:pStyle w:val="MRNumberedHeading2"/>
        <w:numPr>
          <w:ilvl w:val="3"/>
          <w:numId w:val="18"/>
        </w:numPr>
        <w:rPr>
          <w:szCs w:val="20"/>
        </w:rPr>
      </w:pPr>
      <w:hyperlink r:id="rId16" w:history="1">
        <w:r w:rsidR="003F585D" w:rsidRPr="003F585D">
          <w:rPr>
            <w:rStyle w:val="Hyperlink"/>
          </w:rPr>
          <w:t>https://www.genomicseducation.hee.nhs.uk/education/</w:t>
        </w:r>
      </w:hyperlink>
    </w:p>
    <w:p w14:paraId="3D09C8D1" w14:textId="77777777" w:rsidR="003F585D" w:rsidRPr="003F585D" w:rsidRDefault="001E72EB" w:rsidP="003F585D">
      <w:pPr>
        <w:pStyle w:val="MRNumberedHeading2"/>
        <w:numPr>
          <w:ilvl w:val="3"/>
          <w:numId w:val="18"/>
        </w:numPr>
        <w:rPr>
          <w:szCs w:val="20"/>
        </w:rPr>
      </w:pPr>
      <w:hyperlink r:id="rId17" w:history="1">
        <w:r w:rsidR="003F585D" w:rsidRPr="003F585D">
          <w:rPr>
            <w:rStyle w:val="Hyperlink"/>
          </w:rPr>
          <w:t>https://www.genomicseducation.hee.nhs.uk/document-library/</w:t>
        </w:r>
      </w:hyperlink>
    </w:p>
    <w:p w14:paraId="0AEAC242" w14:textId="77777777" w:rsidR="003F585D" w:rsidRPr="003F585D" w:rsidRDefault="001E72EB" w:rsidP="003F585D">
      <w:pPr>
        <w:pStyle w:val="MRNumberedHeading2"/>
        <w:numPr>
          <w:ilvl w:val="3"/>
          <w:numId w:val="18"/>
        </w:numPr>
        <w:rPr>
          <w:szCs w:val="20"/>
        </w:rPr>
      </w:pPr>
      <w:hyperlink r:id="rId18" w:history="1">
        <w:r w:rsidR="003F585D" w:rsidRPr="003F585D">
          <w:rPr>
            <w:rStyle w:val="Hyperlink"/>
          </w:rPr>
          <w:t>https://www.flickr.com/photos/genomicseducation/</w:t>
        </w:r>
      </w:hyperlink>
      <w:r w:rsidR="008B48A8" w:rsidRPr="003F585D">
        <w:t xml:space="preserve"> </w:t>
      </w:r>
    </w:p>
    <w:p w14:paraId="4586FC6D" w14:textId="77777777" w:rsidR="003F585D" w:rsidRPr="003F585D" w:rsidRDefault="001E72EB" w:rsidP="003F585D">
      <w:pPr>
        <w:pStyle w:val="MRNumberedHeading2"/>
        <w:numPr>
          <w:ilvl w:val="3"/>
          <w:numId w:val="18"/>
        </w:numPr>
        <w:rPr>
          <w:szCs w:val="20"/>
        </w:rPr>
      </w:pPr>
      <w:hyperlink r:id="rId19" w:history="1">
        <w:r w:rsidR="003F585D" w:rsidRPr="003F585D">
          <w:rPr>
            <w:rStyle w:val="Hyperlink"/>
          </w:rPr>
          <w:t>https://vimeo.com/genomicsed</w:t>
        </w:r>
      </w:hyperlink>
    </w:p>
    <w:p w14:paraId="5B23555C" w14:textId="42C37894" w:rsidR="003F585D" w:rsidRPr="003F585D" w:rsidRDefault="00EC7013" w:rsidP="003F585D">
      <w:pPr>
        <w:pStyle w:val="MRNumberedHeading2"/>
        <w:rPr>
          <w:szCs w:val="20"/>
        </w:rPr>
      </w:pPr>
      <w:r w:rsidRPr="003F585D">
        <w:t xml:space="preserve">To support </w:t>
      </w:r>
      <w:r w:rsidR="00DE324F" w:rsidRPr="003F585D">
        <w:t>these courses and resources</w:t>
      </w:r>
      <w:r w:rsidR="000E5CAA" w:rsidRPr="003F585D">
        <w:t xml:space="preserve"> –</w:t>
      </w:r>
      <w:r w:rsidR="00DE324F" w:rsidRPr="003F585D">
        <w:t xml:space="preserve"> as well as </w:t>
      </w:r>
      <w:r w:rsidR="00B0587C" w:rsidRPr="003F585D">
        <w:t xml:space="preserve">a significant volume of </w:t>
      </w:r>
      <w:r w:rsidR="0046219E" w:rsidRPr="003F585D">
        <w:t>offline</w:t>
      </w:r>
      <w:r w:rsidR="00DE324F" w:rsidRPr="003F585D">
        <w:t xml:space="preserve"> activity such as our Master’s programme</w:t>
      </w:r>
      <w:r w:rsidR="00B0587C" w:rsidRPr="003F585D">
        <w:t>, professional networks</w:t>
      </w:r>
      <w:r w:rsidR="000E5CAA" w:rsidRPr="003F585D">
        <w:t>,</w:t>
      </w:r>
      <w:r w:rsidR="00DE324F" w:rsidRPr="003F585D">
        <w:t xml:space="preserve"> and </w:t>
      </w:r>
      <w:r w:rsidR="001911EE" w:rsidRPr="003F585D">
        <w:t xml:space="preserve">conferences / </w:t>
      </w:r>
      <w:r w:rsidR="00DE324F" w:rsidRPr="003F585D">
        <w:t>events</w:t>
      </w:r>
      <w:r w:rsidR="000E5CAA" w:rsidRPr="003F585D">
        <w:t xml:space="preserve"> –</w:t>
      </w:r>
      <w:r w:rsidR="00DE324F" w:rsidRPr="003F585D">
        <w:t xml:space="preserve"> we </w:t>
      </w:r>
      <w:r w:rsidR="00674F1C" w:rsidRPr="003F585D">
        <w:t xml:space="preserve">publish a range of </w:t>
      </w:r>
      <w:r w:rsidR="00944A85" w:rsidRPr="003F585D">
        <w:t>promotional</w:t>
      </w:r>
      <w:r w:rsidR="00674F1C" w:rsidRPr="003F585D">
        <w:t xml:space="preserve"> material</w:t>
      </w:r>
      <w:r w:rsidR="00944A85" w:rsidRPr="003F585D">
        <w:t>, such as</w:t>
      </w:r>
      <w:r w:rsidR="003E0D95" w:rsidRPr="003F585D">
        <w:t xml:space="preserve"> </w:t>
      </w:r>
      <w:r w:rsidR="0083499A" w:rsidRPr="003F585D">
        <w:t>posters, flyers, postcards, infographics and other ‘social media-friendly’ graphics</w:t>
      </w:r>
      <w:r w:rsidR="009E2954" w:rsidRPr="003F585D">
        <w:t xml:space="preserve">. </w:t>
      </w:r>
      <w:r w:rsidR="00145760" w:rsidRPr="003F585D">
        <w:t xml:space="preserve">While we work within organisational brand guidelines, we aim to be as </w:t>
      </w:r>
      <w:r w:rsidR="00E22D94" w:rsidRPr="003F585D">
        <w:t>creative</w:t>
      </w:r>
      <w:r w:rsidR="00AB12E8" w:rsidRPr="003F585D">
        <w:t xml:space="preserve"> </w:t>
      </w:r>
      <w:r w:rsidR="00145760" w:rsidRPr="003F585D">
        <w:t>and engaging with our design assets as we possibly can.</w:t>
      </w:r>
      <w:r w:rsidR="00674F1C" w:rsidRPr="003F585D">
        <w:t xml:space="preserve"> </w:t>
      </w:r>
      <w:r w:rsidR="00DE324F" w:rsidRPr="003F585D">
        <w:t xml:space="preserve"> </w:t>
      </w:r>
    </w:p>
    <w:p w14:paraId="5FF5A872" w14:textId="3ABA64CB" w:rsidR="003F585D" w:rsidRDefault="003F585D" w:rsidP="003F585D">
      <w:pPr>
        <w:pStyle w:val="MRNumberedHeading2"/>
        <w:rPr>
          <w:szCs w:val="20"/>
        </w:rPr>
      </w:pPr>
      <w:r w:rsidRPr="003F585D">
        <w:rPr>
          <w:szCs w:val="20"/>
        </w:rPr>
        <w:t>This contract will support both the development of print and online promotional material, as well as educational resources, such as factsheets, worksheets and, on occasion, simple animations.</w:t>
      </w:r>
    </w:p>
    <w:p w14:paraId="1BB9A0C8" w14:textId="4CA0BFF6" w:rsidR="00290714" w:rsidRPr="00290714" w:rsidRDefault="00290714" w:rsidP="00290714">
      <w:pPr>
        <w:pStyle w:val="MRNumberedHeading2"/>
        <w:numPr>
          <w:ilvl w:val="0"/>
          <w:numId w:val="0"/>
        </w:numPr>
        <w:ind w:left="720"/>
        <w:rPr>
          <w:b/>
          <w:bCs/>
          <w:szCs w:val="20"/>
        </w:rPr>
      </w:pPr>
      <w:r w:rsidRPr="00290714">
        <w:rPr>
          <w:b/>
          <w:bCs/>
          <w:szCs w:val="20"/>
        </w:rPr>
        <w:lastRenderedPageBreak/>
        <w:t>Requirements</w:t>
      </w:r>
    </w:p>
    <w:p w14:paraId="10C0B6D0" w14:textId="1870FF10" w:rsidR="003F585D" w:rsidRDefault="00E22D94" w:rsidP="003F585D">
      <w:pPr>
        <w:pStyle w:val="MRNumberedHeading2"/>
        <w:rPr>
          <w:rFonts w:cs="Arial"/>
        </w:rPr>
      </w:pPr>
      <w:r w:rsidRPr="003F585D">
        <w:rPr>
          <w:rFonts w:cs="Arial"/>
        </w:rPr>
        <w:t xml:space="preserve">The programme has some design expertise </w:t>
      </w:r>
      <w:r w:rsidR="00AB12E8" w:rsidRPr="003F585D">
        <w:rPr>
          <w:rFonts w:cs="Arial"/>
        </w:rPr>
        <w:t>in-house but</w:t>
      </w:r>
      <w:r w:rsidRPr="003F585D">
        <w:rPr>
          <w:rFonts w:cs="Arial"/>
        </w:rPr>
        <w:t xml:space="preserve"> owing to a lack of capacity there is a need to outsource design work</w:t>
      </w:r>
      <w:r w:rsidR="00AB12E8" w:rsidRPr="003F585D">
        <w:rPr>
          <w:rFonts w:cs="Arial"/>
        </w:rPr>
        <w:t xml:space="preserve">. </w:t>
      </w:r>
      <w:bookmarkStart w:id="17" w:name="_Toc403555093"/>
      <w:bookmarkEnd w:id="16"/>
      <w:r w:rsidR="003F585D" w:rsidRPr="003F585D">
        <w:rPr>
          <w:rFonts w:cs="Arial"/>
        </w:rPr>
        <w:t>The GEP typically commissions design projects on an ad hoc basis – sometimes, but not usually, at short notice. As much of our content is scientific in nature, occasionally multiple reviews and iterations are required, though we aim for the standard two sets of amends.</w:t>
      </w:r>
    </w:p>
    <w:p w14:paraId="175711F1" w14:textId="77777777" w:rsidR="00381FFD" w:rsidRDefault="003F585D" w:rsidP="00381FFD">
      <w:pPr>
        <w:pStyle w:val="MRNumberedHeading2"/>
        <w:rPr>
          <w:rFonts w:cs="Arial"/>
        </w:rPr>
      </w:pPr>
      <w:r w:rsidRPr="003F585D">
        <w:rPr>
          <w:rFonts w:cs="Arial"/>
        </w:rPr>
        <w:t xml:space="preserve">The GEP may require design work to be undertaken on a variety of projects, such as: </w:t>
      </w:r>
    </w:p>
    <w:p w14:paraId="01215248" w14:textId="77777777" w:rsidR="00381FFD" w:rsidRPr="00381FFD" w:rsidRDefault="00381FFD" w:rsidP="00381FFD">
      <w:pPr>
        <w:pStyle w:val="MRNumberedHeading2"/>
        <w:numPr>
          <w:ilvl w:val="2"/>
          <w:numId w:val="18"/>
        </w:numPr>
        <w:rPr>
          <w:rFonts w:cs="Arial"/>
        </w:rPr>
      </w:pPr>
      <w:r w:rsidRPr="00381FFD">
        <w:rPr>
          <w:szCs w:val="20"/>
        </w:rPr>
        <w:t>promotional leaflets, postcards, flyers and other printed promotional materials (</w:t>
      </w:r>
      <w:hyperlink r:id="rId20" w:history="1">
        <w:r w:rsidRPr="00381FFD">
          <w:rPr>
            <w:rStyle w:val="Hyperlink"/>
            <w:szCs w:val="20"/>
          </w:rPr>
          <w:t>example</w:t>
        </w:r>
      </w:hyperlink>
      <w:r w:rsidRPr="00381FFD">
        <w:rPr>
          <w:szCs w:val="20"/>
        </w:rPr>
        <w:t>);</w:t>
      </w:r>
    </w:p>
    <w:p w14:paraId="32EDFC37" w14:textId="77777777" w:rsidR="00381FFD" w:rsidRPr="00381FFD" w:rsidRDefault="00381FFD" w:rsidP="00381FFD">
      <w:pPr>
        <w:pStyle w:val="MRNumberedHeading2"/>
        <w:numPr>
          <w:ilvl w:val="2"/>
          <w:numId w:val="18"/>
        </w:numPr>
        <w:rPr>
          <w:rFonts w:cs="Arial"/>
        </w:rPr>
      </w:pPr>
      <w:r w:rsidRPr="00381FFD">
        <w:rPr>
          <w:szCs w:val="20"/>
        </w:rPr>
        <w:t xml:space="preserve">educational resources, such as factsheets and worksheets (see examples </w:t>
      </w:r>
      <w:hyperlink r:id="rId21" w:history="1">
        <w:r w:rsidRPr="00381FFD">
          <w:rPr>
            <w:rStyle w:val="Hyperlink"/>
            <w:szCs w:val="20"/>
          </w:rPr>
          <w:t>here</w:t>
        </w:r>
      </w:hyperlink>
      <w:r w:rsidRPr="00381FFD">
        <w:rPr>
          <w:szCs w:val="20"/>
        </w:rPr>
        <w:t xml:space="preserve">, </w:t>
      </w:r>
      <w:hyperlink r:id="rId22" w:history="1">
        <w:r w:rsidRPr="00381FFD">
          <w:rPr>
            <w:rStyle w:val="Hyperlink"/>
            <w:szCs w:val="20"/>
          </w:rPr>
          <w:t>here</w:t>
        </w:r>
      </w:hyperlink>
      <w:r w:rsidRPr="00381FFD">
        <w:rPr>
          <w:szCs w:val="20"/>
        </w:rPr>
        <w:t xml:space="preserve"> and </w:t>
      </w:r>
      <w:hyperlink r:id="rId23" w:history="1">
        <w:r w:rsidRPr="00381FFD">
          <w:rPr>
            <w:rStyle w:val="Hyperlink"/>
            <w:szCs w:val="20"/>
          </w:rPr>
          <w:t>here</w:t>
        </w:r>
      </w:hyperlink>
      <w:r w:rsidRPr="00381FFD">
        <w:rPr>
          <w:szCs w:val="20"/>
        </w:rPr>
        <w:t>);</w:t>
      </w:r>
    </w:p>
    <w:p w14:paraId="54CA1FD4" w14:textId="77777777" w:rsidR="00381FFD" w:rsidRPr="00381FFD" w:rsidRDefault="00381FFD" w:rsidP="00381FFD">
      <w:pPr>
        <w:pStyle w:val="MRNumberedHeading2"/>
        <w:numPr>
          <w:ilvl w:val="2"/>
          <w:numId w:val="18"/>
        </w:numPr>
        <w:rPr>
          <w:rFonts w:cs="Arial"/>
        </w:rPr>
      </w:pPr>
      <w:r w:rsidRPr="00381FFD">
        <w:rPr>
          <w:szCs w:val="20"/>
        </w:rPr>
        <w:t>scientific posters for conferences and events (</w:t>
      </w:r>
      <w:hyperlink r:id="rId24" w:history="1">
        <w:r w:rsidRPr="00381FFD">
          <w:rPr>
            <w:rStyle w:val="Hyperlink"/>
            <w:szCs w:val="20"/>
          </w:rPr>
          <w:t>example</w:t>
        </w:r>
      </w:hyperlink>
      <w:r w:rsidRPr="00381FFD">
        <w:rPr>
          <w:szCs w:val="20"/>
        </w:rPr>
        <w:t>);</w:t>
      </w:r>
    </w:p>
    <w:p w14:paraId="728E848F" w14:textId="77777777" w:rsidR="00381FFD" w:rsidRPr="00381FFD" w:rsidRDefault="00381FFD" w:rsidP="00381FFD">
      <w:pPr>
        <w:pStyle w:val="MRNumberedHeading2"/>
        <w:numPr>
          <w:ilvl w:val="2"/>
          <w:numId w:val="18"/>
        </w:numPr>
        <w:rPr>
          <w:rFonts w:cs="Arial"/>
        </w:rPr>
      </w:pPr>
      <w:r w:rsidRPr="00381FFD">
        <w:rPr>
          <w:szCs w:val="20"/>
        </w:rPr>
        <w:t>infographics and icons (</w:t>
      </w:r>
      <w:hyperlink r:id="rId25" w:history="1">
        <w:r w:rsidRPr="00381FFD">
          <w:rPr>
            <w:rStyle w:val="Hyperlink"/>
            <w:szCs w:val="20"/>
          </w:rPr>
          <w:t>examples</w:t>
        </w:r>
      </w:hyperlink>
      <w:r w:rsidRPr="00381FFD">
        <w:rPr>
          <w:szCs w:val="20"/>
        </w:rPr>
        <w:t>);</w:t>
      </w:r>
    </w:p>
    <w:p w14:paraId="024B0AE1" w14:textId="77777777" w:rsidR="00381FFD" w:rsidRPr="00381FFD" w:rsidRDefault="00381FFD" w:rsidP="00381FFD">
      <w:pPr>
        <w:pStyle w:val="MRNumberedHeading2"/>
        <w:numPr>
          <w:ilvl w:val="2"/>
          <w:numId w:val="18"/>
        </w:numPr>
        <w:rPr>
          <w:rFonts w:cs="Arial"/>
        </w:rPr>
      </w:pPr>
      <w:r w:rsidRPr="00381FFD">
        <w:rPr>
          <w:szCs w:val="20"/>
        </w:rPr>
        <w:t>data dashboards (</w:t>
      </w:r>
      <w:hyperlink r:id="rId26" w:history="1">
        <w:r w:rsidRPr="00381FFD">
          <w:rPr>
            <w:rStyle w:val="Hyperlink"/>
            <w:szCs w:val="20"/>
          </w:rPr>
          <w:t>example</w:t>
        </w:r>
      </w:hyperlink>
      <w:r w:rsidRPr="00381FFD">
        <w:rPr>
          <w:szCs w:val="20"/>
        </w:rPr>
        <w:t>); and</w:t>
      </w:r>
    </w:p>
    <w:p w14:paraId="34825E58" w14:textId="2A16D4F6" w:rsidR="00381FFD" w:rsidRPr="00381FFD" w:rsidRDefault="00381FFD" w:rsidP="00381FFD">
      <w:pPr>
        <w:pStyle w:val="MRNumberedHeading2"/>
        <w:numPr>
          <w:ilvl w:val="2"/>
          <w:numId w:val="18"/>
        </w:numPr>
        <w:rPr>
          <w:rFonts w:cs="Arial"/>
        </w:rPr>
      </w:pPr>
      <w:r w:rsidRPr="00381FFD">
        <w:rPr>
          <w:szCs w:val="20"/>
        </w:rPr>
        <w:t xml:space="preserve">simple 2D animations, such as this </w:t>
      </w:r>
      <w:hyperlink r:id="rId27" w:history="1">
        <w:r w:rsidRPr="00381FFD">
          <w:rPr>
            <w:rStyle w:val="Hyperlink"/>
            <w:szCs w:val="20"/>
          </w:rPr>
          <w:t>example</w:t>
        </w:r>
      </w:hyperlink>
      <w:r w:rsidRPr="00381FFD">
        <w:rPr>
          <w:szCs w:val="20"/>
        </w:rPr>
        <w:t>.</w:t>
      </w:r>
    </w:p>
    <w:p w14:paraId="0B44904E" w14:textId="77777777" w:rsidR="003F585D" w:rsidRPr="003F585D" w:rsidRDefault="003F585D" w:rsidP="003F585D">
      <w:pPr>
        <w:pStyle w:val="MRNumberedHeading2"/>
        <w:rPr>
          <w:rFonts w:cs="Arial"/>
        </w:rPr>
      </w:pPr>
      <w:r w:rsidRPr="003F585D">
        <w:rPr>
          <w:rFonts w:cs="Arial"/>
        </w:rPr>
        <w:t>The GEP will require bidders to:</w:t>
      </w:r>
    </w:p>
    <w:p w14:paraId="6060C6B1" w14:textId="77777777" w:rsidR="003F585D" w:rsidRPr="003F585D" w:rsidRDefault="003F585D" w:rsidP="003F585D">
      <w:pPr>
        <w:pStyle w:val="MRNumberedHeading2"/>
        <w:numPr>
          <w:ilvl w:val="2"/>
          <w:numId w:val="18"/>
        </w:numPr>
        <w:rPr>
          <w:rFonts w:cs="Arial"/>
        </w:rPr>
      </w:pPr>
      <w:r w:rsidRPr="003F585D">
        <w:rPr>
          <w:rFonts w:cs="Arial"/>
        </w:rPr>
        <w:t>provide creative input and design expertise on a range of projects as required;</w:t>
      </w:r>
    </w:p>
    <w:p w14:paraId="7BB363A4" w14:textId="77777777" w:rsidR="003F585D" w:rsidRPr="003F585D" w:rsidRDefault="003F585D" w:rsidP="003F585D">
      <w:pPr>
        <w:pStyle w:val="MRNumberedHeading2"/>
        <w:numPr>
          <w:ilvl w:val="2"/>
          <w:numId w:val="18"/>
        </w:numPr>
        <w:rPr>
          <w:rFonts w:cs="Arial"/>
        </w:rPr>
      </w:pPr>
      <w:r w:rsidRPr="003F585D">
        <w:rPr>
          <w:rFonts w:cs="Arial"/>
        </w:rPr>
        <w:t>produce high-quality design work, to agreed deadlines and costs;</w:t>
      </w:r>
    </w:p>
    <w:p w14:paraId="2C0287A3" w14:textId="3A64FFB5" w:rsidR="003F585D" w:rsidRPr="003F585D" w:rsidRDefault="003F585D" w:rsidP="003F585D">
      <w:pPr>
        <w:pStyle w:val="MRNumberedHeading2"/>
        <w:numPr>
          <w:ilvl w:val="2"/>
          <w:numId w:val="18"/>
        </w:numPr>
        <w:rPr>
          <w:rFonts w:cs="Arial"/>
        </w:rPr>
      </w:pPr>
      <w:r w:rsidRPr="003F585D">
        <w:rPr>
          <w:rFonts w:cs="Arial"/>
        </w:rPr>
        <w:t xml:space="preserve">become familiar with, and work within, </w:t>
      </w:r>
      <w:hyperlink r:id="rId28" w:history="1">
        <w:r w:rsidRPr="00C40CB1">
          <w:rPr>
            <w:rStyle w:val="Hyperlink"/>
            <w:rFonts w:cs="Arial"/>
          </w:rPr>
          <w:t>HEE style guidelines</w:t>
        </w:r>
      </w:hyperlink>
      <w:r w:rsidRPr="003F585D">
        <w:rPr>
          <w:rFonts w:cs="Arial"/>
        </w:rPr>
        <w:t>;</w:t>
      </w:r>
    </w:p>
    <w:p w14:paraId="781A31D5" w14:textId="77777777" w:rsidR="003F585D" w:rsidRPr="003F585D" w:rsidRDefault="003F585D" w:rsidP="003F585D">
      <w:pPr>
        <w:pStyle w:val="MRNumberedHeading2"/>
        <w:numPr>
          <w:ilvl w:val="2"/>
          <w:numId w:val="18"/>
        </w:numPr>
        <w:rPr>
          <w:rFonts w:cs="Arial"/>
        </w:rPr>
      </w:pPr>
      <w:r w:rsidRPr="003F585D">
        <w:rPr>
          <w:rFonts w:cs="Arial"/>
        </w:rPr>
        <w:t xml:space="preserve">allow time for review and changes; </w:t>
      </w:r>
    </w:p>
    <w:p w14:paraId="1FF6AC5F" w14:textId="77777777" w:rsidR="003F585D" w:rsidRPr="003F585D" w:rsidRDefault="003F585D" w:rsidP="003F585D">
      <w:pPr>
        <w:pStyle w:val="MRNumberedHeading2"/>
        <w:numPr>
          <w:ilvl w:val="2"/>
          <w:numId w:val="18"/>
        </w:numPr>
        <w:rPr>
          <w:rFonts w:cs="Arial"/>
        </w:rPr>
      </w:pPr>
      <w:r w:rsidRPr="003F585D">
        <w:rPr>
          <w:rFonts w:cs="Arial"/>
        </w:rPr>
        <w:t xml:space="preserve">be communicative and responsive to feedback; </w:t>
      </w:r>
    </w:p>
    <w:p w14:paraId="553F72E1" w14:textId="77777777" w:rsidR="003F585D" w:rsidRPr="003F585D" w:rsidRDefault="003F585D" w:rsidP="003F585D">
      <w:pPr>
        <w:pStyle w:val="MRNumberedHeading2"/>
        <w:numPr>
          <w:ilvl w:val="2"/>
          <w:numId w:val="18"/>
        </w:numPr>
        <w:rPr>
          <w:rFonts w:cs="Arial"/>
        </w:rPr>
      </w:pPr>
      <w:r w:rsidRPr="003F585D">
        <w:rPr>
          <w:rFonts w:cs="Arial"/>
        </w:rPr>
        <w:t>attend occasional creative scoping meetings via Skype if required; and</w:t>
      </w:r>
    </w:p>
    <w:p w14:paraId="7E270EAE" w14:textId="77777777" w:rsidR="003F585D" w:rsidRPr="003F585D" w:rsidRDefault="003F585D" w:rsidP="003F585D">
      <w:pPr>
        <w:pStyle w:val="MRNumberedHeading2"/>
        <w:numPr>
          <w:ilvl w:val="2"/>
          <w:numId w:val="18"/>
        </w:numPr>
        <w:rPr>
          <w:rFonts w:cs="Arial"/>
        </w:rPr>
      </w:pPr>
      <w:r w:rsidRPr="003F585D">
        <w:rPr>
          <w:rFonts w:cs="Arial"/>
        </w:rPr>
        <w:t>offer continuous value for money, quoting in a clear and transparent way, and completing projects in line with costs specified.</w:t>
      </w:r>
    </w:p>
    <w:p w14:paraId="3B6B2D76" w14:textId="77777777" w:rsidR="003F585D" w:rsidRPr="003F585D" w:rsidRDefault="003F585D" w:rsidP="003F585D">
      <w:pPr>
        <w:pStyle w:val="MRNumberedHeading2"/>
        <w:rPr>
          <w:rFonts w:cs="Arial"/>
        </w:rPr>
      </w:pPr>
      <w:r w:rsidRPr="003F585D">
        <w:rPr>
          <w:rFonts w:cs="Arial"/>
        </w:rPr>
        <w:t xml:space="preserve">Please note: any design work commissioned under this contract will be the property of the GEP and will be used and distributed as the programme deems appropriate. </w:t>
      </w:r>
    </w:p>
    <w:p w14:paraId="19BBD246" w14:textId="7E8AD3E7" w:rsidR="003F585D" w:rsidRDefault="003F585D" w:rsidP="003F585D">
      <w:pPr>
        <w:pStyle w:val="MRNumberedHeading2"/>
        <w:rPr>
          <w:rFonts w:cs="Arial"/>
        </w:rPr>
      </w:pPr>
      <w:r w:rsidRPr="003F585D">
        <w:rPr>
          <w:rFonts w:cs="Arial"/>
        </w:rPr>
        <w:t xml:space="preserve">It will be a requirement of the contract to provide original design files on request, eg .ai, .eps, .indd, .psd. </w:t>
      </w:r>
    </w:p>
    <w:p w14:paraId="2EF0389C" w14:textId="547790D9" w:rsidR="00290714" w:rsidRPr="00290714" w:rsidRDefault="00290714" w:rsidP="00290714">
      <w:pPr>
        <w:pStyle w:val="MRNumberedHeading2"/>
        <w:numPr>
          <w:ilvl w:val="0"/>
          <w:numId w:val="0"/>
        </w:numPr>
        <w:ind w:left="720"/>
        <w:rPr>
          <w:rFonts w:cs="Arial"/>
          <w:b/>
          <w:bCs/>
        </w:rPr>
      </w:pPr>
      <w:r w:rsidRPr="00290714">
        <w:rPr>
          <w:rFonts w:cs="Arial"/>
          <w:b/>
          <w:bCs/>
        </w:rPr>
        <w:t>Key Performance Indicators [KPIs]</w:t>
      </w:r>
    </w:p>
    <w:p w14:paraId="08939E6B" w14:textId="77777777" w:rsidR="00290714" w:rsidRPr="00290714" w:rsidRDefault="00290714" w:rsidP="00290714">
      <w:pPr>
        <w:pStyle w:val="MRNumberedHeading2"/>
        <w:rPr>
          <w:rFonts w:cs="Arial"/>
        </w:rPr>
      </w:pPr>
      <w:r w:rsidRPr="00290714">
        <w:rPr>
          <w:rFonts w:cs="Arial"/>
        </w:rPr>
        <w:t xml:space="preserve">KPIs will be monitored during the course of the contract. </w:t>
      </w:r>
    </w:p>
    <w:p w14:paraId="22311DC7" w14:textId="77777777" w:rsidR="00290714" w:rsidRPr="00290714" w:rsidRDefault="00290714" w:rsidP="00290714">
      <w:pPr>
        <w:pStyle w:val="MRNumberedHeading2"/>
        <w:numPr>
          <w:ilvl w:val="2"/>
          <w:numId w:val="18"/>
        </w:numPr>
        <w:rPr>
          <w:rFonts w:cs="Arial"/>
        </w:rPr>
      </w:pPr>
      <w:r w:rsidRPr="00290714">
        <w:rPr>
          <w:rFonts w:cs="Arial"/>
        </w:rPr>
        <w:t>The bidder will be expected to:</w:t>
      </w:r>
    </w:p>
    <w:p w14:paraId="515029E4" w14:textId="77777777" w:rsidR="00290714" w:rsidRPr="00290714" w:rsidRDefault="00290714" w:rsidP="00290714">
      <w:pPr>
        <w:pStyle w:val="MRNumberedHeading2"/>
        <w:numPr>
          <w:ilvl w:val="3"/>
          <w:numId w:val="18"/>
        </w:numPr>
        <w:rPr>
          <w:rFonts w:cs="Arial"/>
        </w:rPr>
      </w:pPr>
      <w:r w:rsidRPr="00290714">
        <w:rPr>
          <w:rFonts w:cs="Arial"/>
        </w:rPr>
        <w:t>produce high-quality design assets that meet the scope of the brief, in line with agreed timescales and costs;</w:t>
      </w:r>
    </w:p>
    <w:p w14:paraId="0B63FE6D" w14:textId="77777777" w:rsidR="00290714" w:rsidRPr="00290714" w:rsidRDefault="00290714" w:rsidP="00290714">
      <w:pPr>
        <w:pStyle w:val="MRNumberedHeading2"/>
        <w:numPr>
          <w:ilvl w:val="3"/>
          <w:numId w:val="18"/>
        </w:numPr>
        <w:rPr>
          <w:rFonts w:cs="Arial"/>
        </w:rPr>
      </w:pPr>
      <w:r w:rsidRPr="00290714">
        <w:rPr>
          <w:rFonts w:cs="Arial"/>
        </w:rPr>
        <w:t>ensure that GEP enquiries are responded to in a timely manner;</w:t>
      </w:r>
    </w:p>
    <w:p w14:paraId="162452F9" w14:textId="77777777" w:rsidR="00290714" w:rsidRPr="00290714" w:rsidRDefault="00290714" w:rsidP="00290714">
      <w:pPr>
        <w:pStyle w:val="MRNumberedHeading2"/>
        <w:numPr>
          <w:ilvl w:val="3"/>
          <w:numId w:val="18"/>
        </w:numPr>
        <w:rPr>
          <w:rFonts w:cs="Arial"/>
        </w:rPr>
      </w:pPr>
      <w:r w:rsidRPr="00290714">
        <w:rPr>
          <w:rFonts w:cs="Arial"/>
        </w:rPr>
        <w:lastRenderedPageBreak/>
        <w:t>provide accurate quotations on request, and ensure any change to costs (such as excessive sets of amends) are communicated promptly; and</w:t>
      </w:r>
    </w:p>
    <w:p w14:paraId="0A8FD6DA" w14:textId="77777777" w:rsidR="00290714" w:rsidRPr="00290714" w:rsidRDefault="00290714" w:rsidP="00290714">
      <w:pPr>
        <w:pStyle w:val="MRNumberedHeading2"/>
        <w:numPr>
          <w:ilvl w:val="3"/>
          <w:numId w:val="18"/>
        </w:numPr>
        <w:rPr>
          <w:rFonts w:cs="Arial"/>
        </w:rPr>
      </w:pPr>
      <w:r w:rsidRPr="00290714">
        <w:rPr>
          <w:rFonts w:cs="Arial"/>
        </w:rPr>
        <w:t>participate in regular service review meetings, to assess progress to date, and discuss upcoming commissions.</w:t>
      </w:r>
    </w:p>
    <w:p w14:paraId="4AD4C444" w14:textId="557E8911" w:rsidR="006534CF" w:rsidRPr="00290714" w:rsidRDefault="00825FC5" w:rsidP="00290714">
      <w:pPr>
        <w:pStyle w:val="MRNumberedHeading2"/>
        <w:numPr>
          <w:ilvl w:val="0"/>
          <w:numId w:val="0"/>
        </w:numPr>
        <w:ind w:left="720"/>
        <w:rPr>
          <w:b/>
          <w:bCs/>
        </w:rPr>
      </w:pPr>
      <w:r w:rsidRPr="00290714">
        <w:rPr>
          <w:b/>
          <w:bCs/>
        </w:rPr>
        <w:t>Questions about this ITT</w:t>
      </w:r>
      <w:bookmarkEnd w:id="17"/>
    </w:p>
    <w:p w14:paraId="5A7D8622" w14:textId="43DB8786" w:rsidR="00646E0D" w:rsidRDefault="00825FC5" w:rsidP="00620F2D">
      <w:pPr>
        <w:pStyle w:val="MRNumberedHeading2"/>
      </w:pPr>
      <w:bookmarkStart w:id="18" w:name="_Toc403555094"/>
      <w:bookmarkStart w:id="19" w:name="_Ref405452872"/>
      <w:r>
        <w:t xml:space="preserve">You may submit, by no later than </w:t>
      </w:r>
      <w:r w:rsidR="00A06397">
        <w:rPr>
          <w:iCs/>
          <w:shd w:val="clear" w:color="auto" w:fill="FFFFFF" w:themeFill="background1"/>
        </w:rPr>
        <w:t>15th July</w:t>
      </w:r>
      <w:r w:rsidR="00214D97" w:rsidRPr="0078092F">
        <w:rPr>
          <w:iCs/>
          <w:shd w:val="clear" w:color="auto" w:fill="FFFFFF" w:themeFill="background1"/>
        </w:rPr>
        <w:t xml:space="preserve"> 2020</w:t>
      </w:r>
      <w:r>
        <w:t xml:space="preserve"> any queries that you have relating to this ITT.  Please submit such queries </w:t>
      </w:r>
      <w:r w:rsidR="00CF3C3F">
        <w:t>via the</w:t>
      </w:r>
      <w:r w:rsidR="0050545F">
        <w:t xml:space="preserve"> e-Tendering</w:t>
      </w:r>
      <w:r w:rsidR="00CF3C3F">
        <w:t xml:space="preserve"> </w:t>
      </w:r>
      <w:r w:rsidR="004230E7">
        <w:t>Portal</w:t>
      </w:r>
      <w:r w:rsidR="00CF3C3F">
        <w:t xml:space="preserve">. </w:t>
      </w:r>
      <w:bookmarkStart w:id="20" w:name="_Toc403555095"/>
      <w:bookmarkEnd w:id="18"/>
      <w:bookmarkEnd w:id="19"/>
    </w:p>
    <w:p w14:paraId="479B99D7" w14:textId="492EEBEC" w:rsidR="00825FC5" w:rsidRDefault="00825FC5" w:rsidP="00620F2D">
      <w:pPr>
        <w:pStyle w:val="MRNumberedHeading2"/>
      </w:pPr>
      <w:r>
        <w:t xml:space="preserve">Any specific queries should clearly </w:t>
      </w:r>
      <w:r w:rsidR="00896434">
        <w:t>r</w:t>
      </w:r>
      <w:r>
        <w:t>eference the appropriate paragraph in the</w:t>
      </w:r>
      <w:r w:rsidR="006032F2">
        <w:t xml:space="preserve"> ITT</w:t>
      </w:r>
      <w:r>
        <w:t xml:space="preserve"> documentation and, to the extent possible, should be aggregated </w:t>
      </w:r>
      <w:r w:rsidR="006032F2">
        <w:t>rather than sent individually.</w:t>
      </w:r>
      <w:r>
        <w:t xml:space="preserve"> </w:t>
      </w:r>
      <w:r w:rsidR="006032F2">
        <w:t xml:space="preserve"> </w:t>
      </w:r>
      <w:r w:rsidR="002E072D">
        <w:t>The Authority may decline to answer</w:t>
      </w:r>
      <w:r>
        <w:t xml:space="preserve"> queries received after the above deadline.</w:t>
      </w:r>
      <w:bookmarkEnd w:id="20"/>
    </w:p>
    <w:p w14:paraId="4E3394F9" w14:textId="38EE9FB3" w:rsidR="004E71FF" w:rsidRPr="005A2E47" w:rsidRDefault="00825FC5" w:rsidP="006B54D6">
      <w:pPr>
        <w:pStyle w:val="MRNumberedHeading2"/>
      </w:pPr>
      <w:bookmarkStart w:id="21" w:name="_Toc403555096"/>
      <w:r>
        <w:t xml:space="preserve">Answers to the questions received by the Authority will be circulated to all </w:t>
      </w:r>
      <w:r w:rsidR="00DC0F21">
        <w:t>Bidders</w:t>
      </w:r>
      <w:r w:rsidR="006032F2">
        <w:t xml:space="preserve"> via the </w:t>
      </w:r>
      <w:r w:rsidR="0050545F">
        <w:t xml:space="preserve">e-Tendering </w:t>
      </w:r>
      <w:r w:rsidR="004230E7">
        <w:t>Portal</w:t>
      </w:r>
      <w:r w:rsidR="00DC0F21">
        <w:t xml:space="preserve">. Answers will not </w:t>
      </w:r>
      <w:r w:rsidR="00A4489A">
        <w:t>reveal</w:t>
      </w:r>
      <w:r w:rsidR="00DC0F21">
        <w:t xml:space="preserve"> the identity</w:t>
      </w:r>
      <w:r w:rsidR="001065C5">
        <w:t xml:space="preserve"> of the individual B</w:t>
      </w:r>
      <w:r w:rsidR="00DC0F21">
        <w:t xml:space="preserve">idder that </w:t>
      </w:r>
      <w:r w:rsidR="006032F2">
        <w:t>asked</w:t>
      </w:r>
      <w:r w:rsidR="00DC0F21">
        <w:t xml:space="preserve"> a particular question.  The Authority </w:t>
      </w:r>
      <w:r w:rsidR="006032F2">
        <w:t>may decide not to</w:t>
      </w:r>
      <w:r w:rsidR="00113020">
        <w:t xml:space="preserve"> disc</w:t>
      </w:r>
      <w:r w:rsidR="00AD0C96">
        <w:t>lose</w:t>
      </w:r>
      <w:r w:rsidR="00113020">
        <w:t xml:space="preserve"> answers, or parts of answers,</w:t>
      </w:r>
      <w:r w:rsidR="00DC0F21">
        <w:t xml:space="preserve"> which would reveal</w:t>
      </w:r>
      <w:r w:rsidR="00A4489A">
        <w:t xml:space="preserve"> confidential or commercially sensitive information in relation to a</w:t>
      </w:r>
      <w:r w:rsidR="0097584E">
        <w:t xml:space="preserve"> particular</w:t>
      </w:r>
      <w:r w:rsidR="00A4489A">
        <w:t xml:space="preserve"> Bidder.</w:t>
      </w:r>
      <w:bookmarkEnd w:id="21"/>
      <w:r w:rsidR="004E71FF">
        <w:br w:type="page"/>
      </w:r>
    </w:p>
    <w:p w14:paraId="221B3FAF" w14:textId="77777777" w:rsidR="008D3217" w:rsidRPr="008F3D2C" w:rsidRDefault="008D3217" w:rsidP="00172AE4">
      <w:pPr>
        <w:pStyle w:val="MRNumberedHeading1"/>
        <w:numPr>
          <w:ilvl w:val="0"/>
          <w:numId w:val="19"/>
        </w:numPr>
        <w:tabs>
          <w:tab w:val="clear" w:pos="798"/>
          <w:tab w:val="num" w:pos="709"/>
        </w:tabs>
        <w:ind w:hanging="798"/>
        <w:rPr>
          <w:sz w:val="20"/>
          <w:szCs w:val="20"/>
        </w:rPr>
      </w:pPr>
      <w:bookmarkStart w:id="22" w:name="_Toc403556502"/>
      <w:bookmarkStart w:id="23" w:name="_Toc403556507"/>
      <w:r w:rsidRPr="008F3D2C">
        <w:rPr>
          <w:sz w:val="20"/>
          <w:szCs w:val="20"/>
        </w:rPr>
        <w:lastRenderedPageBreak/>
        <w:t>TENDER TIMETABLE</w:t>
      </w:r>
      <w:bookmarkEnd w:id="22"/>
      <w:bookmarkEnd w:id="23"/>
    </w:p>
    <w:p w14:paraId="5711A735" w14:textId="77777777" w:rsidR="008D3217" w:rsidRPr="00276E1B" w:rsidRDefault="008D3217" w:rsidP="00337295">
      <w:pPr>
        <w:pStyle w:val="Heading1"/>
        <w:spacing w:before="240" w:after="0"/>
        <w:ind w:left="709"/>
      </w:pPr>
      <w:bookmarkStart w:id="24" w:name="_Toc403555097"/>
      <w:r w:rsidRPr="00276E1B">
        <w:t>Key dates</w:t>
      </w:r>
      <w:bookmarkEnd w:id="24"/>
    </w:p>
    <w:p w14:paraId="00B76565" w14:textId="77777777" w:rsidR="008D3217" w:rsidRDefault="008D3217" w:rsidP="006B54D6">
      <w:pPr>
        <w:pStyle w:val="MRNumberedHeading2"/>
      </w:pPr>
      <w:bookmarkStart w:id="25" w:name="_Toc403555098"/>
      <w:r>
        <w:t xml:space="preserve">The procurement will follow a clear, structured and transparent process to ensure a fair and level playing </w:t>
      </w:r>
      <w:r w:rsidR="0083677A">
        <w:t>field so that</w:t>
      </w:r>
      <w:r w:rsidR="00B46DA5">
        <w:t xml:space="preserve"> all </w:t>
      </w:r>
      <w:r w:rsidR="00E7163F">
        <w:t>Bidders</w:t>
      </w:r>
      <w:r w:rsidR="00B46DA5">
        <w:t xml:space="preserve"> are treated equally.</w:t>
      </w:r>
      <w:bookmarkEnd w:id="25"/>
      <w:r w:rsidR="00B46DA5">
        <w:t xml:space="preserve"> </w:t>
      </w:r>
    </w:p>
    <w:p w14:paraId="573BFB09" w14:textId="77777777" w:rsidR="00B46DA5" w:rsidRDefault="00FE07BA" w:rsidP="006B54D6">
      <w:pPr>
        <w:pStyle w:val="MRNumberedHeading2"/>
      </w:pPr>
      <w:bookmarkStart w:id="26" w:name="_Toc403555099"/>
      <w:bookmarkStart w:id="27" w:name="_Ref405452883"/>
      <w:bookmarkStart w:id="28" w:name="_Ref406061800"/>
      <w:bookmarkStart w:id="29" w:name="_Ref406062870"/>
      <w:r>
        <w:t>The key dates for this procurement are currently anticipated to be as follows:</w:t>
      </w:r>
      <w:bookmarkEnd w:id="26"/>
      <w:bookmarkEnd w:id="27"/>
      <w:bookmarkEnd w:id="28"/>
      <w:bookmarkEnd w:id="29"/>
      <w:r>
        <w:t xml:space="preserve"> </w:t>
      </w:r>
    </w:p>
    <w:p w14:paraId="238601FE" w14:textId="77777777" w:rsidR="003E3276" w:rsidRDefault="003E3276" w:rsidP="006B54D6">
      <w:pPr>
        <w:pStyle w:val="MRNumberedHeading2"/>
        <w:numPr>
          <w:ilvl w:val="0"/>
          <w:numId w:val="0"/>
        </w:numPr>
        <w:ind w:left="720"/>
      </w:pPr>
    </w:p>
    <w:tbl>
      <w:tblPr>
        <w:tblStyle w:val="TableGrid"/>
        <w:tblW w:w="0" w:type="auto"/>
        <w:tblInd w:w="817" w:type="dxa"/>
        <w:tblLook w:val="04A0" w:firstRow="1" w:lastRow="0" w:firstColumn="1" w:lastColumn="0" w:noHBand="0" w:noVBand="1"/>
      </w:tblPr>
      <w:tblGrid>
        <w:gridCol w:w="5387"/>
        <w:gridCol w:w="2693"/>
      </w:tblGrid>
      <w:tr w:rsidR="00FE07BA" w14:paraId="540E4567" w14:textId="77777777" w:rsidTr="008C5577">
        <w:tc>
          <w:tcPr>
            <w:tcW w:w="5387" w:type="dxa"/>
            <w:shd w:val="clear" w:color="auto" w:fill="BFBFBF" w:themeFill="background1" w:themeFillShade="BF"/>
          </w:tcPr>
          <w:p w14:paraId="20EC0D2D" w14:textId="77777777" w:rsidR="00FE07BA" w:rsidRPr="00FE07BA" w:rsidRDefault="00FE07BA" w:rsidP="00FE07BA">
            <w:pPr>
              <w:pStyle w:val="Heading2"/>
              <w:numPr>
                <w:ilvl w:val="0"/>
                <w:numId w:val="0"/>
              </w:numPr>
              <w:outlineLvl w:val="1"/>
              <w:rPr>
                <w:b/>
              </w:rPr>
            </w:pPr>
            <w:r w:rsidRPr="00FE07BA">
              <w:rPr>
                <w:b/>
              </w:rPr>
              <w:t>Event</w:t>
            </w:r>
          </w:p>
        </w:tc>
        <w:tc>
          <w:tcPr>
            <w:tcW w:w="2693" w:type="dxa"/>
            <w:shd w:val="clear" w:color="auto" w:fill="BFBFBF" w:themeFill="background1" w:themeFillShade="BF"/>
          </w:tcPr>
          <w:p w14:paraId="491072FA" w14:textId="77777777" w:rsidR="00FE07BA" w:rsidRPr="002D2E91" w:rsidRDefault="00FE07BA" w:rsidP="00FE07BA">
            <w:pPr>
              <w:pStyle w:val="Heading2"/>
              <w:numPr>
                <w:ilvl w:val="0"/>
                <w:numId w:val="0"/>
              </w:numPr>
              <w:outlineLvl w:val="1"/>
              <w:rPr>
                <w:b/>
              </w:rPr>
            </w:pPr>
            <w:r w:rsidRPr="002D2E91">
              <w:rPr>
                <w:b/>
              </w:rPr>
              <w:t>Date</w:t>
            </w:r>
          </w:p>
        </w:tc>
      </w:tr>
      <w:tr w:rsidR="00B16354" w14:paraId="5FA1B26F" w14:textId="77777777" w:rsidTr="008C5577">
        <w:tc>
          <w:tcPr>
            <w:tcW w:w="5387" w:type="dxa"/>
          </w:tcPr>
          <w:p w14:paraId="7584C8BA" w14:textId="5C5BD9C4" w:rsidR="00B16354" w:rsidRDefault="00B16354" w:rsidP="00B16354">
            <w:pPr>
              <w:pStyle w:val="Heading2"/>
              <w:numPr>
                <w:ilvl w:val="0"/>
                <w:numId w:val="0"/>
              </w:numPr>
              <w:outlineLvl w:val="1"/>
            </w:pPr>
            <w:r>
              <w:t>ITT issued</w:t>
            </w:r>
          </w:p>
        </w:tc>
        <w:tc>
          <w:tcPr>
            <w:tcW w:w="2693" w:type="dxa"/>
          </w:tcPr>
          <w:p w14:paraId="0F3CABC7" w14:textId="600A796C" w:rsidR="00B16354" w:rsidRPr="00395503" w:rsidRDefault="00B16354" w:rsidP="00B16354">
            <w:pPr>
              <w:pStyle w:val="Heading2"/>
              <w:numPr>
                <w:ilvl w:val="0"/>
                <w:numId w:val="0"/>
              </w:numPr>
              <w:outlineLvl w:val="1"/>
              <w:rPr>
                <w:rFonts w:cs="Arial"/>
                <w:highlight w:val="yellow"/>
              </w:rPr>
            </w:pPr>
            <w:r w:rsidRPr="00395503">
              <w:rPr>
                <w:rFonts w:cs="Arial"/>
              </w:rPr>
              <w:t>03/07/2020</w:t>
            </w:r>
          </w:p>
        </w:tc>
      </w:tr>
      <w:tr w:rsidR="00B16354" w14:paraId="4E5E1A57" w14:textId="77777777" w:rsidTr="008C5577">
        <w:tc>
          <w:tcPr>
            <w:tcW w:w="5387" w:type="dxa"/>
          </w:tcPr>
          <w:p w14:paraId="66BADCB9" w14:textId="6B266DDE" w:rsidR="00B16354" w:rsidRDefault="00B16354" w:rsidP="00B16354">
            <w:pPr>
              <w:pStyle w:val="Heading2"/>
              <w:numPr>
                <w:ilvl w:val="0"/>
                <w:numId w:val="0"/>
              </w:numPr>
              <w:outlineLvl w:val="1"/>
            </w:pPr>
            <w:r>
              <w:t>Deadline for the receipt of clarification questions</w:t>
            </w:r>
          </w:p>
        </w:tc>
        <w:tc>
          <w:tcPr>
            <w:tcW w:w="2693" w:type="dxa"/>
          </w:tcPr>
          <w:p w14:paraId="5B08B5D1" w14:textId="33B5B491" w:rsidR="00B16354" w:rsidRPr="00395503" w:rsidRDefault="00B16354" w:rsidP="00B16354">
            <w:pPr>
              <w:pStyle w:val="Heading2"/>
              <w:numPr>
                <w:ilvl w:val="0"/>
                <w:numId w:val="0"/>
              </w:numPr>
              <w:outlineLvl w:val="1"/>
              <w:rPr>
                <w:rFonts w:cs="Arial"/>
              </w:rPr>
            </w:pPr>
            <w:r w:rsidRPr="00395503">
              <w:rPr>
                <w:rFonts w:cs="Arial"/>
              </w:rPr>
              <w:t>15/07/2020</w:t>
            </w:r>
          </w:p>
        </w:tc>
      </w:tr>
      <w:tr w:rsidR="00B16354" w14:paraId="77927717" w14:textId="77777777" w:rsidTr="008C5577">
        <w:tc>
          <w:tcPr>
            <w:tcW w:w="5387" w:type="dxa"/>
          </w:tcPr>
          <w:p w14:paraId="049DC613" w14:textId="1C891AA5" w:rsidR="00B16354" w:rsidRDefault="00B16354" w:rsidP="00B16354">
            <w:pPr>
              <w:pStyle w:val="Heading2"/>
              <w:numPr>
                <w:ilvl w:val="0"/>
                <w:numId w:val="0"/>
              </w:numPr>
              <w:outlineLvl w:val="1"/>
            </w:pPr>
            <w:r>
              <w:t>Target date for responses to clarification questions</w:t>
            </w:r>
          </w:p>
        </w:tc>
        <w:tc>
          <w:tcPr>
            <w:tcW w:w="2693" w:type="dxa"/>
          </w:tcPr>
          <w:p w14:paraId="16DEB4AB" w14:textId="250B680F" w:rsidR="00B16354" w:rsidRPr="00395503" w:rsidRDefault="00B16354" w:rsidP="00B16354">
            <w:pPr>
              <w:pStyle w:val="Heading2"/>
              <w:numPr>
                <w:ilvl w:val="0"/>
                <w:numId w:val="0"/>
              </w:numPr>
              <w:tabs>
                <w:tab w:val="left" w:pos="1652"/>
              </w:tabs>
              <w:outlineLvl w:val="1"/>
              <w:rPr>
                <w:rFonts w:cs="Arial"/>
              </w:rPr>
            </w:pPr>
            <w:r w:rsidRPr="00395503">
              <w:rPr>
                <w:rFonts w:cs="Arial"/>
              </w:rPr>
              <w:t>17/07/2020</w:t>
            </w:r>
          </w:p>
        </w:tc>
      </w:tr>
      <w:tr w:rsidR="00B16354" w14:paraId="5533E903" w14:textId="77777777" w:rsidTr="008C5577">
        <w:tc>
          <w:tcPr>
            <w:tcW w:w="5387" w:type="dxa"/>
          </w:tcPr>
          <w:p w14:paraId="680F080F" w14:textId="5F16BC9E" w:rsidR="00B16354" w:rsidRDefault="00B16354" w:rsidP="00B16354">
            <w:pPr>
              <w:pStyle w:val="Heading2"/>
              <w:numPr>
                <w:ilvl w:val="0"/>
                <w:numId w:val="0"/>
              </w:numPr>
              <w:outlineLvl w:val="1"/>
            </w:pPr>
            <w:r>
              <w:t>Deadline for receipt of Tenders</w:t>
            </w:r>
          </w:p>
        </w:tc>
        <w:tc>
          <w:tcPr>
            <w:tcW w:w="2693" w:type="dxa"/>
          </w:tcPr>
          <w:p w14:paraId="0AD9C6F4" w14:textId="4180652F" w:rsidR="00B16354" w:rsidRPr="00395503" w:rsidRDefault="00B16354" w:rsidP="00B16354">
            <w:pPr>
              <w:pStyle w:val="Heading2"/>
              <w:numPr>
                <w:ilvl w:val="0"/>
                <w:numId w:val="0"/>
              </w:numPr>
              <w:outlineLvl w:val="1"/>
              <w:rPr>
                <w:rFonts w:cs="Arial"/>
              </w:rPr>
            </w:pPr>
            <w:r w:rsidRPr="00395503">
              <w:rPr>
                <w:rFonts w:cs="Arial"/>
              </w:rPr>
              <w:t>24/07/2020</w:t>
            </w:r>
          </w:p>
        </w:tc>
      </w:tr>
      <w:tr w:rsidR="004227D6" w14:paraId="68A32511" w14:textId="77777777" w:rsidTr="008C5577">
        <w:tc>
          <w:tcPr>
            <w:tcW w:w="5387" w:type="dxa"/>
          </w:tcPr>
          <w:p w14:paraId="4FF9EB00" w14:textId="3950B11F" w:rsidR="004227D6" w:rsidRDefault="004227D6" w:rsidP="004227D6">
            <w:pPr>
              <w:pStyle w:val="Heading2"/>
              <w:numPr>
                <w:ilvl w:val="0"/>
                <w:numId w:val="0"/>
              </w:numPr>
              <w:outlineLvl w:val="1"/>
            </w:pPr>
            <w:r>
              <w:t xml:space="preserve">Evaluation of </w:t>
            </w:r>
            <w:r w:rsidR="00B16354">
              <w:t>PQQ</w:t>
            </w:r>
          </w:p>
        </w:tc>
        <w:tc>
          <w:tcPr>
            <w:tcW w:w="2693" w:type="dxa"/>
          </w:tcPr>
          <w:p w14:paraId="4B1F511A" w14:textId="232B15BC" w:rsidR="004227D6" w:rsidRPr="00290714" w:rsidRDefault="00F36E6E" w:rsidP="004227D6">
            <w:pPr>
              <w:pStyle w:val="Heading2"/>
              <w:numPr>
                <w:ilvl w:val="0"/>
                <w:numId w:val="0"/>
              </w:numPr>
              <w:outlineLvl w:val="1"/>
            </w:pPr>
            <w:r>
              <w:t>27/07/2020</w:t>
            </w:r>
          </w:p>
        </w:tc>
      </w:tr>
      <w:tr w:rsidR="00B16354" w14:paraId="7F57F83E" w14:textId="77777777" w:rsidTr="008C5577">
        <w:tc>
          <w:tcPr>
            <w:tcW w:w="5387" w:type="dxa"/>
          </w:tcPr>
          <w:p w14:paraId="4422B84E" w14:textId="6FFFACC6" w:rsidR="00B16354" w:rsidRDefault="00B16354" w:rsidP="004227D6">
            <w:pPr>
              <w:pStyle w:val="Heading2"/>
              <w:numPr>
                <w:ilvl w:val="0"/>
                <w:numId w:val="0"/>
              </w:numPr>
              <w:outlineLvl w:val="1"/>
            </w:pPr>
            <w:r>
              <w:t xml:space="preserve">Evaluation of </w:t>
            </w:r>
            <w:r w:rsidR="00F36E6E">
              <w:t>Tenders</w:t>
            </w:r>
          </w:p>
        </w:tc>
        <w:tc>
          <w:tcPr>
            <w:tcW w:w="2693" w:type="dxa"/>
          </w:tcPr>
          <w:p w14:paraId="030559F0" w14:textId="0CF18D99" w:rsidR="00B16354" w:rsidRPr="00290714" w:rsidRDefault="00F36E6E" w:rsidP="004227D6">
            <w:pPr>
              <w:pStyle w:val="Heading2"/>
              <w:numPr>
                <w:ilvl w:val="0"/>
                <w:numId w:val="0"/>
              </w:numPr>
              <w:outlineLvl w:val="1"/>
            </w:pPr>
            <w:r>
              <w:t xml:space="preserve">28/07/2020 </w:t>
            </w:r>
            <w:r w:rsidR="0003486B">
              <w:t>–</w:t>
            </w:r>
            <w:r>
              <w:t xml:space="preserve"> </w:t>
            </w:r>
            <w:r w:rsidR="0003486B">
              <w:t>07/08/2020</w:t>
            </w:r>
          </w:p>
        </w:tc>
      </w:tr>
      <w:tr w:rsidR="004227D6" w14:paraId="715EA92F" w14:textId="77777777" w:rsidTr="008C5577">
        <w:tc>
          <w:tcPr>
            <w:tcW w:w="5387" w:type="dxa"/>
          </w:tcPr>
          <w:p w14:paraId="15C7C5D9" w14:textId="577DBBF5" w:rsidR="004227D6" w:rsidRDefault="004227D6" w:rsidP="004227D6">
            <w:pPr>
              <w:pStyle w:val="Heading2"/>
              <w:numPr>
                <w:ilvl w:val="0"/>
                <w:numId w:val="0"/>
              </w:numPr>
              <w:outlineLvl w:val="1"/>
            </w:pPr>
            <w:r>
              <w:t>Notification of contract award decision</w:t>
            </w:r>
          </w:p>
        </w:tc>
        <w:tc>
          <w:tcPr>
            <w:tcW w:w="2693" w:type="dxa"/>
          </w:tcPr>
          <w:p w14:paraId="65F9C3DC" w14:textId="0E40B725" w:rsidR="004227D6" w:rsidRPr="00290714" w:rsidRDefault="0003486B" w:rsidP="004227D6">
            <w:pPr>
              <w:pStyle w:val="Heading2"/>
              <w:numPr>
                <w:ilvl w:val="0"/>
                <w:numId w:val="0"/>
              </w:numPr>
              <w:outlineLvl w:val="1"/>
            </w:pPr>
            <w:r>
              <w:t>10/08/2020</w:t>
            </w:r>
          </w:p>
        </w:tc>
      </w:tr>
      <w:tr w:rsidR="007A05DF" w14:paraId="29ECA95C" w14:textId="77777777" w:rsidTr="008C5577">
        <w:tc>
          <w:tcPr>
            <w:tcW w:w="5387" w:type="dxa"/>
          </w:tcPr>
          <w:p w14:paraId="0CBF4497" w14:textId="4B6C976A" w:rsidR="007A05DF" w:rsidRDefault="007A05DF" w:rsidP="004227D6">
            <w:pPr>
              <w:pStyle w:val="Heading2"/>
              <w:numPr>
                <w:ilvl w:val="0"/>
                <w:numId w:val="0"/>
              </w:numPr>
              <w:outlineLvl w:val="1"/>
            </w:pPr>
            <w:r>
              <w:t>Voluntary Standstill</w:t>
            </w:r>
          </w:p>
        </w:tc>
        <w:tc>
          <w:tcPr>
            <w:tcW w:w="2693" w:type="dxa"/>
          </w:tcPr>
          <w:p w14:paraId="20B70FFA" w14:textId="7C1D3269" w:rsidR="007A05DF" w:rsidRPr="00290714" w:rsidRDefault="00AF0D92" w:rsidP="004227D6">
            <w:pPr>
              <w:pStyle w:val="Heading2"/>
              <w:numPr>
                <w:ilvl w:val="0"/>
                <w:numId w:val="0"/>
              </w:numPr>
              <w:outlineLvl w:val="1"/>
            </w:pPr>
            <w:r>
              <w:t>1</w:t>
            </w:r>
            <w:r w:rsidR="008B4295">
              <w:t>1</w:t>
            </w:r>
            <w:r>
              <w:t xml:space="preserve">/08/2020 </w:t>
            </w:r>
            <w:r w:rsidR="008B4295">
              <w:t>–</w:t>
            </w:r>
            <w:r>
              <w:t xml:space="preserve"> </w:t>
            </w:r>
            <w:r w:rsidR="008B4295">
              <w:t>21/08/2020</w:t>
            </w:r>
          </w:p>
        </w:tc>
      </w:tr>
      <w:tr w:rsidR="004227D6" w14:paraId="5D814C7E" w14:textId="77777777" w:rsidTr="008C5577">
        <w:tc>
          <w:tcPr>
            <w:tcW w:w="5387" w:type="dxa"/>
          </w:tcPr>
          <w:p w14:paraId="0DA1DB8F" w14:textId="5143C970" w:rsidR="004227D6" w:rsidRDefault="004227D6" w:rsidP="004227D6">
            <w:pPr>
              <w:pStyle w:val="Heading2"/>
              <w:numPr>
                <w:ilvl w:val="0"/>
                <w:numId w:val="0"/>
              </w:numPr>
              <w:outlineLvl w:val="1"/>
            </w:pPr>
            <w:r>
              <w:t>Contract award</w:t>
            </w:r>
          </w:p>
        </w:tc>
        <w:tc>
          <w:tcPr>
            <w:tcW w:w="2693" w:type="dxa"/>
          </w:tcPr>
          <w:p w14:paraId="5023141B" w14:textId="0B84A9B9" w:rsidR="004227D6" w:rsidRPr="00290714" w:rsidRDefault="00637F9A" w:rsidP="004227D6">
            <w:pPr>
              <w:pStyle w:val="Heading2"/>
              <w:numPr>
                <w:ilvl w:val="0"/>
                <w:numId w:val="0"/>
              </w:numPr>
              <w:outlineLvl w:val="1"/>
            </w:pPr>
            <w:r w:rsidRPr="00290714">
              <w:t>2</w:t>
            </w:r>
            <w:r w:rsidR="008B4295">
              <w:t>1</w:t>
            </w:r>
            <w:r w:rsidR="00FB09E4" w:rsidRPr="00290714">
              <w:t>/0</w:t>
            </w:r>
            <w:r w:rsidR="008B4295">
              <w:t>8</w:t>
            </w:r>
            <w:r w:rsidR="00FB09E4" w:rsidRPr="00290714">
              <w:t>/2020</w:t>
            </w:r>
          </w:p>
        </w:tc>
      </w:tr>
      <w:tr w:rsidR="004227D6" w14:paraId="69741D95" w14:textId="77777777" w:rsidTr="008C5577">
        <w:tc>
          <w:tcPr>
            <w:tcW w:w="5387" w:type="dxa"/>
          </w:tcPr>
          <w:p w14:paraId="4C47AF53" w14:textId="158F309E" w:rsidR="004227D6" w:rsidRDefault="004227D6" w:rsidP="004227D6">
            <w:pPr>
              <w:pStyle w:val="Heading2"/>
              <w:numPr>
                <w:ilvl w:val="0"/>
                <w:numId w:val="0"/>
              </w:numPr>
              <w:outlineLvl w:val="1"/>
            </w:pPr>
            <w:r>
              <w:t xml:space="preserve">Contract work starts </w:t>
            </w:r>
          </w:p>
        </w:tc>
        <w:tc>
          <w:tcPr>
            <w:tcW w:w="2693" w:type="dxa"/>
          </w:tcPr>
          <w:p w14:paraId="1F3B1409" w14:textId="598AB0BD" w:rsidR="004227D6" w:rsidRPr="00290714" w:rsidRDefault="008B4295" w:rsidP="004227D6">
            <w:pPr>
              <w:pStyle w:val="Heading2"/>
              <w:numPr>
                <w:ilvl w:val="0"/>
                <w:numId w:val="0"/>
              </w:numPr>
              <w:outlineLvl w:val="1"/>
            </w:pPr>
            <w:r>
              <w:t>03/09</w:t>
            </w:r>
            <w:r w:rsidR="00FB09E4" w:rsidRPr="00290714">
              <w:t>/2020</w:t>
            </w:r>
          </w:p>
        </w:tc>
      </w:tr>
    </w:tbl>
    <w:p w14:paraId="5BB2284B" w14:textId="5590FFB9" w:rsidR="009A3E29" w:rsidRPr="009A3E29" w:rsidRDefault="009A3E29" w:rsidP="009A3E29">
      <w:pPr>
        <w:pStyle w:val="Heading2"/>
        <w:numPr>
          <w:ilvl w:val="0"/>
          <w:numId w:val="0"/>
        </w:numPr>
        <w:ind w:left="851"/>
      </w:pPr>
    </w:p>
    <w:p w14:paraId="1A573B69" w14:textId="77777777" w:rsidR="00FE07BA" w:rsidRDefault="00FE07BA" w:rsidP="006B54D6">
      <w:pPr>
        <w:pStyle w:val="MRNumberedHeading2"/>
      </w:pPr>
      <w:bookmarkStart w:id="30" w:name="_Toc403555100"/>
      <w:bookmarkStart w:id="31" w:name="_Ref405452899"/>
      <w:r>
        <w:t>Whilst the Authority does not intend to depart from the timetable, it reserves the right to do so at any stage.</w:t>
      </w:r>
      <w:bookmarkEnd w:id="30"/>
      <w:bookmarkEnd w:id="31"/>
      <w:r>
        <w:t xml:space="preserve">  </w:t>
      </w:r>
    </w:p>
    <w:p w14:paraId="580105B8" w14:textId="77777777" w:rsidR="000831C0" w:rsidRPr="00276E1B" w:rsidRDefault="000E189B" w:rsidP="00337295">
      <w:pPr>
        <w:pStyle w:val="Heading1"/>
        <w:spacing w:before="240" w:after="0"/>
        <w:ind w:left="709"/>
      </w:pPr>
      <w:bookmarkStart w:id="32" w:name="_Toc403555104"/>
      <w:r w:rsidRPr="00276E1B">
        <w:t>Deadline for receipt of Tenders</w:t>
      </w:r>
      <w:bookmarkEnd w:id="32"/>
      <w:r w:rsidRPr="00276E1B">
        <w:t xml:space="preserve"> </w:t>
      </w:r>
    </w:p>
    <w:p w14:paraId="766E97EA" w14:textId="77777777" w:rsidR="000831C0" w:rsidRDefault="0083677A" w:rsidP="006B54D6">
      <w:pPr>
        <w:pStyle w:val="MRNumberedHeading2"/>
      </w:pPr>
      <w:bookmarkStart w:id="33" w:name="_Toc403555105"/>
      <w:r>
        <w:t>Bidders must submit their Tenders</w:t>
      </w:r>
      <w:r w:rsidR="00E37725">
        <w:t xml:space="preserve"> in the manner</w:t>
      </w:r>
      <w:r w:rsidR="00807CF7">
        <w:t xml:space="preserve"> prescribed in section 3</w:t>
      </w:r>
      <w:r w:rsidR="00E37725">
        <w:t xml:space="preserve"> below </w:t>
      </w:r>
      <w:r w:rsidR="00807CF7">
        <w:t xml:space="preserve">no later than </w:t>
      </w:r>
      <w:r>
        <w:t xml:space="preserve">the </w:t>
      </w:r>
      <w:r w:rsidRPr="005C5973">
        <w:t>date and time</w:t>
      </w:r>
      <w:r w:rsidR="00807CF7">
        <w:t xml:space="preserve"> </w:t>
      </w:r>
      <w:r>
        <w:t>specified on the front cover of this ITT.</w:t>
      </w:r>
      <w:bookmarkEnd w:id="33"/>
    </w:p>
    <w:p w14:paraId="7AD16FA2" w14:textId="77777777" w:rsidR="00E37725" w:rsidRDefault="00807CF7" w:rsidP="006B54D6">
      <w:pPr>
        <w:pStyle w:val="MRNumberedHeading2"/>
      </w:pPr>
      <w:bookmarkStart w:id="34" w:name="_Toc403555106"/>
      <w:bookmarkStart w:id="35" w:name="_Ref405452913"/>
      <w:r>
        <w:t>Any Tender received after the d</w:t>
      </w:r>
      <w:r w:rsidR="00E37725">
        <w:t>eadline</w:t>
      </w:r>
      <w:r w:rsidR="0083677A">
        <w:t xml:space="preserve"> or by any method other than via the </w:t>
      </w:r>
      <w:r w:rsidR="0050545F">
        <w:t xml:space="preserve">e-Tendering </w:t>
      </w:r>
      <w:r w:rsidR="004230E7">
        <w:t>Portal</w:t>
      </w:r>
      <w:r w:rsidR="00E37725">
        <w:t xml:space="preserve"> </w:t>
      </w:r>
      <w:r w:rsidR="002E1DD8">
        <w:t>may</w:t>
      </w:r>
      <w:r w:rsidR="00E37725">
        <w:t xml:space="preserve"> not be considered. The Authority may</w:t>
      </w:r>
      <w:r w:rsidR="00E9460D">
        <w:t xml:space="preserve"> </w:t>
      </w:r>
      <w:r w:rsidR="008D4F8F">
        <w:t>at</w:t>
      </w:r>
      <w:r w:rsidR="00E37725">
        <w:t xml:space="preserve"> its </w:t>
      </w:r>
      <w:r>
        <w:t>discretion extend the d</w:t>
      </w:r>
      <w:r w:rsidR="00E37725">
        <w:t>eadline and in such</w:t>
      </w:r>
      <w:r w:rsidR="00E9460D">
        <w:t xml:space="preserve"> </w:t>
      </w:r>
      <w:r w:rsidR="00E37725">
        <w:t xml:space="preserve">circumstances the Authority will notify all </w:t>
      </w:r>
      <w:r w:rsidR="00E7163F">
        <w:t>Bidders</w:t>
      </w:r>
      <w:r w:rsidR="00E37725">
        <w:t xml:space="preserve"> of any change.</w:t>
      </w:r>
      <w:bookmarkEnd w:id="34"/>
      <w:bookmarkEnd w:id="35"/>
    </w:p>
    <w:p w14:paraId="3CC919F4" w14:textId="77777777" w:rsidR="008824CC" w:rsidRPr="00276E1B" w:rsidRDefault="008824CC" w:rsidP="00337295">
      <w:pPr>
        <w:pStyle w:val="Heading1"/>
        <w:spacing w:before="240" w:after="0"/>
        <w:ind w:left="709"/>
        <w:rPr>
          <w:i/>
          <w:color w:val="808080" w:themeColor="background1" w:themeShade="80"/>
        </w:rPr>
      </w:pPr>
      <w:bookmarkStart w:id="36" w:name="_Toc403555119"/>
      <w:r w:rsidRPr="00276E1B">
        <w:t>Contract award</w:t>
      </w:r>
      <w:bookmarkEnd w:id="36"/>
    </w:p>
    <w:p w14:paraId="4CA9677B" w14:textId="4D1FC004" w:rsidR="00E56F27" w:rsidRDefault="008824CC" w:rsidP="006B54D6">
      <w:pPr>
        <w:pStyle w:val="MRNumberedHeading2"/>
      </w:pPr>
      <w:bookmarkStart w:id="37" w:name="_Toc403555120"/>
      <w:r>
        <w:t>Contract award is subject to the formal approval process of the Authority. Until all necessary approvals are obtained</w:t>
      </w:r>
      <w:r w:rsidR="00E56F27">
        <w:t>, no c</w:t>
      </w:r>
      <w:r>
        <w:t>ontract(s) will be entered into.</w:t>
      </w:r>
      <w:bookmarkEnd w:id="37"/>
    </w:p>
    <w:p w14:paraId="75420A84" w14:textId="6C2B1A17" w:rsidR="004E71FF" w:rsidRPr="005A2E47" w:rsidRDefault="008824CC" w:rsidP="006B54D6">
      <w:pPr>
        <w:pStyle w:val="MRNumberedHeading2"/>
      </w:pPr>
      <w:bookmarkStart w:id="38" w:name="_Toc403555121"/>
      <w:bookmarkStart w:id="39" w:name="_Ref405452945"/>
      <w:r>
        <w:t>Once the Authority has reached a decision in respect of a cont</w:t>
      </w:r>
      <w:r w:rsidR="001065C5">
        <w:t>ract award, it will notify all B</w:t>
      </w:r>
      <w:r>
        <w:t xml:space="preserve">idders of that decision </w:t>
      </w:r>
      <w:r w:rsidR="00E56F27">
        <w:t>before entering into any c</w:t>
      </w:r>
      <w:r>
        <w:t>ontract(s).</w:t>
      </w:r>
      <w:bookmarkEnd w:id="38"/>
      <w:bookmarkEnd w:id="39"/>
      <w:r w:rsidR="004E71FF">
        <w:br w:type="page"/>
      </w:r>
    </w:p>
    <w:p w14:paraId="2DC0306E" w14:textId="77777777" w:rsidR="008824CC" w:rsidRPr="008F3D2C" w:rsidRDefault="00A57D02" w:rsidP="00172AE4">
      <w:pPr>
        <w:pStyle w:val="MRNumberedHeading1"/>
        <w:numPr>
          <w:ilvl w:val="0"/>
          <w:numId w:val="19"/>
        </w:numPr>
        <w:ind w:hanging="798"/>
        <w:rPr>
          <w:sz w:val="20"/>
          <w:szCs w:val="20"/>
        </w:rPr>
      </w:pPr>
      <w:bookmarkStart w:id="40" w:name="_Toc403556503"/>
      <w:bookmarkStart w:id="41" w:name="_Toc403556508"/>
      <w:r w:rsidRPr="008F3D2C">
        <w:rPr>
          <w:sz w:val="20"/>
          <w:szCs w:val="20"/>
        </w:rPr>
        <w:lastRenderedPageBreak/>
        <w:t xml:space="preserve">INSTRUCTIONS TO </w:t>
      </w:r>
      <w:r w:rsidR="00E7163F" w:rsidRPr="008F3D2C">
        <w:rPr>
          <w:sz w:val="20"/>
          <w:szCs w:val="20"/>
        </w:rPr>
        <w:t>BIDDERS</w:t>
      </w:r>
      <w:bookmarkEnd w:id="40"/>
      <w:bookmarkEnd w:id="41"/>
      <w:r w:rsidRPr="008F3D2C">
        <w:rPr>
          <w:sz w:val="20"/>
          <w:szCs w:val="20"/>
        </w:rPr>
        <w:t xml:space="preserve"> </w:t>
      </w:r>
    </w:p>
    <w:p w14:paraId="2A34115F" w14:textId="77777777" w:rsidR="006534CF" w:rsidRPr="00276E1B" w:rsidRDefault="00E41C42" w:rsidP="00337295">
      <w:pPr>
        <w:pStyle w:val="Heading1"/>
        <w:spacing w:before="240" w:after="0"/>
        <w:ind w:left="709"/>
      </w:pPr>
      <w:bookmarkStart w:id="42" w:name="_Toc403555122"/>
      <w:r w:rsidRPr="00276E1B">
        <w:t>Formalities for s</w:t>
      </w:r>
      <w:r w:rsidR="003E3EE7" w:rsidRPr="00276E1B">
        <w:t>ubmission of Tender</w:t>
      </w:r>
      <w:bookmarkEnd w:id="42"/>
      <w:r w:rsidR="00226AE3">
        <w:t>s</w:t>
      </w:r>
      <w:r w:rsidR="003E3EE7" w:rsidRPr="00276E1B">
        <w:t xml:space="preserve"> </w:t>
      </w:r>
    </w:p>
    <w:p w14:paraId="2C42B0F9" w14:textId="77777777" w:rsidR="00290714" w:rsidRPr="00F04281" w:rsidRDefault="00290714" w:rsidP="00290714">
      <w:pPr>
        <w:pStyle w:val="MRNumberedHeading2"/>
      </w:pPr>
      <w:bookmarkStart w:id="43" w:name="_Toc403555124"/>
      <w:bookmarkStart w:id="44" w:name="_Toc403555126"/>
      <w:bookmarkStart w:id="45" w:name="_Toc403556504"/>
      <w:bookmarkStart w:id="46" w:name="_Toc403556509"/>
      <w:r w:rsidRPr="00F04281">
        <w:t>Bidders must submit their Tenders by completing the Annexes to Section B of the ITT.   Completed Tenders must be submitted using the e-Tendering Portal. Bidders should ensure that they allow plenty of time to upload the Tender response, particularly where there are large documents.  If Bidders have any problems with the e-Tendering Portal, they should contact the helpdesk by visiting https://www.proactis.com/uk/contact-us/ As noted above, any Tender received after the deadline may not be considered.</w:t>
      </w:r>
    </w:p>
    <w:p w14:paraId="158BF908" w14:textId="77777777" w:rsidR="00290714" w:rsidRPr="007D5F79" w:rsidRDefault="00290714" w:rsidP="00290714">
      <w:pPr>
        <w:pStyle w:val="MRNumberedHeading2"/>
        <w:rPr>
          <w:shd w:val="clear" w:color="auto" w:fill="FFFF66"/>
        </w:rPr>
      </w:pPr>
      <w:bookmarkStart w:id="47" w:name="_Toc403555125"/>
      <w:bookmarkStart w:id="48" w:name="_Ref405453188"/>
      <w:bookmarkEnd w:id="43"/>
      <w:r w:rsidRPr="007D5F79">
        <w:t>Bidders must adhere to the following standard requirements when submitting their Tenders:</w:t>
      </w:r>
      <w:bookmarkEnd w:id="47"/>
      <w:bookmarkEnd w:id="48"/>
    </w:p>
    <w:p w14:paraId="35DD60B4" w14:textId="77777777" w:rsidR="00290714" w:rsidRPr="00390816" w:rsidRDefault="00290714" w:rsidP="00290714">
      <w:pPr>
        <w:pStyle w:val="MRNumberedHeading3"/>
        <w:numPr>
          <w:ilvl w:val="2"/>
          <w:numId w:val="18"/>
        </w:numPr>
        <w:tabs>
          <w:tab w:val="clear" w:pos="2214"/>
          <w:tab w:val="num" w:pos="1794"/>
        </w:tabs>
        <w:spacing w:line="240" w:lineRule="auto"/>
        <w:ind w:left="1702" w:hanging="851"/>
        <w:jc w:val="both"/>
        <w:rPr>
          <w:iCs/>
          <w:shd w:val="clear" w:color="auto" w:fill="FFFF66"/>
        </w:rPr>
      </w:pPr>
      <w:r w:rsidRPr="00390816">
        <w:rPr>
          <w:iCs/>
          <w:shd w:val="clear" w:color="auto" w:fill="FFFFFF" w:themeFill="background1"/>
        </w:rPr>
        <w:t>Do not embed documents within other documents. Instead provide separate electronic copies of the documents, clearly labelled and referenced if necessary.</w:t>
      </w:r>
    </w:p>
    <w:p w14:paraId="08D3A718" w14:textId="77777777" w:rsidR="00290714" w:rsidRPr="00390816" w:rsidRDefault="00290714" w:rsidP="00290714">
      <w:pPr>
        <w:pStyle w:val="MRNumberedHeading3"/>
        <w:numPr>
          <w:ilvl w:val="2"/>
          <w:numId w:val="18"/>
        </w:numPr>
        <w:shd w:val="clear" w:color="auto" w:fill="FFFFFF" w:themeFill="background1"/>
        <w:tabs>
          <w:tab w:val="clear" w:pos="2214"/>
          <w:tab w:val="num" w:pos="1794"/>
        </w:tabs>
        <w:spacing w:line="240" w:lineRule="auto"/>
        <w:ind w:left="1702" w:hanging="851"/>
        <w:jc w:val="both"/>
        <w:rPr>
          <w:iCs/>
          <w:shd w:val="clear" w:color="auto" w:fill="FFFF66"/>
        </w:rPr>
      </w:pPr>
      <w:r w:rsidRPr="00390816">
        <w:rPr>
          <w:iCs/>
          <w:shd w:val="clear" w:color="auto" w:fill="FFFFFF" w:themeFill="background1"/>
        </w:rPr>
        <w:t>The Tender must be in English and drafted in accordance with the drafting guidance set out in this ITT.</w:t>
      </w:r>
    </w:p>
    <w:p w14:paraId="3ABE050F" w14:textId="77777777" w:rsidR="00290714" w:rsidRPr="00390816" w:rsidRDefault="00290714" w:rsidP="00290714">
      <w:pPr>
        <w:pStyle w:val="MRNumberedHeading3"/>
        <w:numPr>
          <w:ilvl w:val="2"/>
          <w:numId w:val="18"/>
        </w:numPr>
        <w:tabs>
          <w:tab w:val="clear" w:pos="2214"/>
          <w:tab w:val="num" w:pos="1794"/>
        </w:tabs>
        <w:spacing w:line="240" w:lineRule="auto"/>
        <w:ind w:left="1702" w:hanging="851"/>
        <w:jc w:val="both"/>
        <w:rPr>
          <w:iCs/>
          <w:shd w:val="clear" w:color="auto" w:fill="FFFF66"/>
        </w:rPr>
      </w:pPr>
      <w:r w:rsidRPr="00390816">
        <w:rPr>
          <w:iCs/>
          <w:shd w:val="clear" w:color="auto" w:fill="FFFFFF" w:themeFill="background1"/>
        </w:rPr>
        <w:t>The Tender must be fully cross-referenced and include a table of contents.</w:t>
      </w:r>
    </w:p>
    <w:p w14:paraId="26D4D2EA" w14:textId="77777777" w:rsidR="00290714" w:rsidRPr="00390816" w:rsidRDefault="00290714" w:rsidP="00290714">
      <w:pPr>
        <w:pStyle w:val="MRNumberedHeading3"/>
        <w:numPr>
          <w:ilvl w:val="2"/>
          <w:numId w:val="18"/>
        </w:numPr>
        <w:tabs>
          <w:tab w:val="clear" w:pos="2214"/>
          <w:tab w:val="num" w:pos="1794"/>
        </w:tabs>
        <w:spacing w:line="240" w:lineRule="auto"/>
        <w:ind w:left="1702" w:hanging="851"/>
        <w:jc w:val="both"/>
        <w:rPr>
          <w:iCs/>
          <w:shd w:val="clear" w:color="auto" w:fill="FFFF66"/>
        </w:rPr>
      </w:pPr>
      <w:r w:rsidRPr="00390816">
        <w:rPr>
          <w:iCs/>
          <w:shd w:val="clear" w:color="auto" w:fill="FFFFFF" w:themeFill="background1"/>
        </w:rPr>
        <w:t>The Tender must include a list of all supporting material.</w:t>
      </w:r>
    </w:p>
    <w:p w14:paraId="4DAC12E7" w14:textId="77777777" w:rsidR="00290714" w:rsidRPr="00390816" w:rsidRDefault="00290714" w:rsidP="00290714">
      <w:pPr>
        <w:pStyle w:val="MRNumberedHeading3"/>
        <w:numPr>
          <w:ilvl w:val="2"/>
          <w:numId w:val="18"/>
        </w:numPr>
        <w:tabs>
          <w:tab w:val="clear" w:pos="2214"/>
          <w:tab w:val="num" w:pos="1794"/>
        </w:tabs>
        <w:spacing w:line="240" w:lineRule="auto"/>
        <w:ind w:left="1702" w:hanging="851"/>
        <w:jc w:val="both"/>
        <w:rPr>
          <w:iCs/>
          <w:shd w:val="clear" w:color="auto" w:fill="FFFF66"/>
        </w:rPr>
      </w:pPr>
      <w:r w:rsidRPr="00390816">
        <w:rPr>
          <w:iCs/>
          <w:shd w:val="clear" w:color="auto" w:fill="FFFFFF" w:themeFill="background1"/>
        </w:rPr>
        <w:t>Electronic copies of the Tender shall be in both Microsoft Office and PDF formats where possible.</w:t>
      </w:r>
    </w:p>
    <w:p w14:paraId="5D5E1516" w14:textId="77777777" w:rsidR="00290714" w:rsidRDefault="00290714" w:rsidP="00290714">
      <w:pPr>
        <w:pStyle w:val="MRNumberedHeading2"/>
      </w:pPr>
      <w:r>
        <w:t>Where a word count limit is specified, Bidders should state how many words their response contains. The Authority reserves the right not to consider any part of a response exceeding the word limit. Words included within diagrams or other graphic representations will count towards the word limit.</w:t>
      </w:r>
      <w:bookmarkEnd w:id="44"/>
      <w:r>
        <w:t xml:space="preserve">  </w:t>
      </w:r>
    </w:p>
    <w:p w14:paraId="7D5BDFC7" w14:textId="21B2DD8A" w:rsidR="00290714" w:rsidRDefault="00290714" w:rsidP="00290714">
      <w:pPr>
        <w:pStyle w:val="MRNumberedHeading2"/>
      </w:pPr>
      <w:bookmarkStart w:id="49" w:name="_Toc403555127"/>
      <w:bookmarkStart w:id="50" w:name="_Ref405453197"/>
      <w:r>
        <w:t>The Tender must be clear, concise and complete</w:t>
      </w:r>
      <w:r w:rsidR="002034C2">
        <w:t>, should a tender not contain all the requested annex</w:t>
      </w:r>
      <w:r w:rsidR="00181DD8">
        <w:t>es this will be treated as non-compliant</w:t>
      </w:r>
      <w:r>
        <w:t>. The Authority reserves the right to mark Bidders down or exclude them from the procurement if their Tenders are ambiguous or lack clarity. Bidders should submit only such information as is necessary to respond effectively to this ITT. Unless specifically requested, do not include extraneous presentation materials.</w:t>
      </w:r>
      <w:bookmarkEnd w:id="49"/>
      <w:bookmarkEnd w:id="50"/>
      <w:r>
        <w:t xml:space="preserve"> </w:t>
      </w:r>
    </w:p>
    <w:p w14:paraId="48A4DFFC" w14:textId="77777777" w:rsidR="00290714" w:rsidRDefault="00290714" w:rsidP="00290714">
      <w:pPr>
        <w:pStyle w:val="MRNumberedHeading2"/>
      </w:pPr>
      <w:bookmarkStart w:id="51" w:name="_Toc403555128"/>
      <w:bookmarkStart w:id="52" w:name="_Ref413143046"/>
      <w:r>
        <w:t>Tenders will be evaluated on the basis of information submitted by the deadline.</w:t>
      </w:r>
      <w:bookmarkEnd w:id="51"/>
      <w:r>
        <w:t xml:space="preserve"> Where information or documentation submitted appears to be incomplete or erroneous or specific documents are missing, the Authority reserves the right to request the Bidder to submit, supplement, clarify or complete the information or documentation.</w:t>
      </w:r>
      <w:bookmarkEnd w:id="52"/>
      <w:r>
        <w:t xml:space="preserve"> </w:t>
      </w:r>
    </w:p>
    <w:p w14:paraId="7831A8C6" w14:textId="77777777" w:rsidR="00290714" w:rsidRDefault="00290714" w:rsidP="00290714">
      <w:pPr>
        <w:pStyle w:val="MRNumberedHeading2"/>
      </w:pPr>
      <w:bookmarkStart w:id="53" w:name="_Toc403555129"/>
      <w:r>
        <w:t>The Tender must be signed by a duly authorised representative of the Bidder.</w:t>
      </w:r>
      <w:bookmarkEnd w:id="53"/>
      <w:r>
        <w:t xml:space="preserve">  </w:t>
      </w:r>
    </w:p>
    <w:p w14:paraId="2424B927" w14:textId="77777777" w:rsidR="00290714" w:rsidRPr="00276E1B" w:rsidRDefault="00290714" w:rsidP="00290714">
      <w:pPr>
        <w:pStyle w:val="Heading1"/>
        <w:spacing w:before="240" w:after="0"/>
        <w:ind w:left="709"/>
      </w:pPr>
      <w:bookmarkStart w:id="54" w:name="_Toc403555130"/>
      <w:r w:rsidRPr="00276E1B">
        <w:t>Modification and withdrawal of Tenders</w:t>
      </w:r>
      <w:bookmarkEnd w:id="54"/>
    </w:p>
    <w:p w14:paraId="2FDFE582" w14:textId="77777777" w:rsidR="00290714" w:rsidRDefault="00290714" w:rsidP="00290714">
      <w:pPr>
        <w:pStyle w:val="MRNumberedHeading2"/>
      </w:pPr>
      <w:bookmarkStart w:id="55" w:name="_Toc403555131"/>
      <w:r>
        <w:t xml:space="preserve">Except as set out in paragraph </w:t>
      </w:r>
      <w:r>
        <w:fldChar w:fldCharType="begin"/>
      </w:r>
      <w:r>
        <w:instrText xml:space="preserve"> REF _Ref413143046 \r \h </w:instrText>
      </w:r>
      <w:r>
        <w:fldChar w:fldCharType="separate"/>
      </w:r>
      <w:r>
        <w:t>3.5</w:t>
      </w:r>
      <w:r>
        <w:fldChar w:fldCharType="end"/>
      </w:r>
      <w:r>
        <w:t>, n</w:t>
      </w:r>
      <w:r w:rsidRPr="00A24900">
        <w:t xml:space="preserve">o </w:t>
      </w:r>
      <w:r>
        <w:t>T</w:t>
      </w:r>
      <w:r w:rsidRPr="00A24900">
        <w:t>ender may be modified aft</w:t>
      </w:r>
      <w:r>
        <w:t>er the deadline for receipt of T</w:t>
      </w:r>
      <w:r w:rsidRPr="00A24900">
        <w:t>enders.</w:t>
      </w:r>
      <w:bookmarkEnd w:id="55"/>
    </w:p>
    <w:p w14:paraId="3B748BFC" w14:textId="77777777" w:rsidR="00290714" w:rsidRDefault="00290714" w:rsidP="00290714">
      <w:pPr>
        <w:pStyle w:val="MRNumberedHeading2"/>
      </w:pPr>
      <w:bookmarkStart w:id="56" w:name="_Toc403555132"/>
      <w:bookmarkStart w:id="57" w:name="_Ref405453207"/>
      <w:r w:rsidRPr="00A24900">
        <w:t>Tenders may be withdrawn at any time before the deadlin</w:t>
      </w:r>
      <w:r>
        <w:t>e for receipt of Tenders.  Revised T</w:t>
      </w:r>
      <w:r w:rsidRPr="00A24900">
        <w:t>enders may be submitted up unt</w:t>
      </w:r>
      <w:r>
        <w:t>il the deadline for receipt of T</w:t>
      </w:r>
      <w:r w:rsidRPr="00A24900">
        <w:t>enders</w:t>
      </w:r>
      <w:bookmarkEnd w:id="56"/>
      <w:bookmarkEnd w:id="57"/>
      <w:r>
        <w:t>.</w:t>
      </w:r>
      <w:r w:rsidRPr="00A24900">
        <w:t xml:space="preserve"> </w:t>
      </w:r>
    </w:p>
    <w:p w14:paraId="012B21A3" w14:textId="77777777" w:rsidR="00290714" w:rsidRPr="00276E1B" w:rsidRDefault="00290714" w:rsidP="00290714">
      <w:pPr>
        <w:pStyle w:val="Heading1"/>
        <w:spacing w:before="240" w:after="0"/>
        <w:ind w:left="709"/>
      </w:pPr>
      <w:bookmarkStart w:id="58" w:name="_Toc403555134"/>
      <w:r w:rsidRPr="00276E1B">
        <w:rPr>
          <w:bCs/>
        </w:rPr>
        <w:t>Terms and conditions</w:t>
      </w:r>
      <w:bookmarkEnd w:id="58"/>
    </w:p>
    <w:p w14:paraId="6EB60A95" w14:textId="77777777" w:rsidR="00290714" w:rsidRPr="00BA173E" w:rsidRDefault="00290714" w:rsidP="00290714">
      <w:pPr>
        <w:pStyle w:val="MRNumberedHeading2"/>
        <w:rPr>
          <w:rFonts w:cs="Arial"/>
        </w:rPr>
      </w:pPr>
      <w:bookmarkStart w:id="59" w:name="_Toc403555135"/>
      <w:r>
        <w:t xml:space="preserve">The contract will include the HEE Terms and Conditions set out in Terms and Conditions Section within the portal.  It is vital that the Bidder reviews these carefully and takes account of all information such as key performance indicators and insurance requirements and that the Tender fully takes account of these. By submitting a Tender, Bidders are agreeing to be bound </w:t>
      </w:r>
      <w:r>
        <w:lastRenderedPageBreak/>
        <w:t>by the terms of this ITT and the NHS Terms and Conditions without further negotiation or amendment.</w:t>
      </w:r>
      <w:bookmarkEnd w:id="59"/>
    </w:p>
    <w:p w14:paraId="58C0E1F3" w14:textId="77777777" w:rsidR="00290714" w:rsidRPr="00276E1B" w:rsidRDefault="00290714" w:rsidP="00290714">
      <w:pPr>
        <w:pStyle w:val="Heading1"/>
        <w:spacing w:before="240" w:after="0"/>
        <w:ind w:left="709"/>
      </w:pPr>
      <w:bookmarkStart w:id="60" w:name="_Toc403555136"/>
      <w:r w:rsidRPr="00276E1B">
        <w:t>Consortia and subcontractors</w:t>
      </w:r>
      <w:bookmarkEnd w:id="60"/>
      <w:r w:rsidRPr="00276E1B">
        <w:t xml:space="preserve"> </w:t>
      </w:r>
    </w:p>
    <w:p w14:paraId="7AA91B57" w14:textId="77777777" w:rsidR="00290714" w:rsidRDefault="00290714" w:rsidP="00290714">
      <w:pPr>
        <w:pStyle w:val="MRNumberedHeading2"/>
      </w:pPr>
      <w:bookmarkStart w:id="61" w:name="_Toc403555137"/>
      <w:bookmarkStart w:id="62" w:name="_Ref405453227"/>
      <w:r w:rsidRPr="003E3276">
        <w:t>If</w:t>
      </w:r>
      <w:r>
        <w:t xml:space="preserve"> the Bidder is a consortium or will rely on sub-contractors to deliver the contract, it must explain in its Tender precisely which entities will be the supplier.</w:t>
      </w:r>
      <w:bookmarkEnd w:id="61"/>
      <w:bookmarkEnd w:id="62"/>
    </w:p>
    <w:p w14:paraId="448AC04E" w14:textId="77777777" w:rsidR="00290714" w:rsidRPr="008E6BB3" w:rsidRDefault="00290714" w:rsidP="00290714">
      <w:pPr>
        <w:pStyle w:val="MRNumberedHeading2"/>
      </w:pPr>
      <w:bookmarkStart w:id="63" w:name="_Toc403555139"/>
      <w:r>
        <w:t>If the Bidder intends to sub-contract any material parts of the contract, it must explain which parts will be sub-contracted, who the sub-contractor is, confirm the sub-contractor has agreed terms of supply and what contractual commitment it has from the sub-contractor to deliver.</w:t>
      </w:r>
      <w:bookmarkEnd w:id="63"/>
    </w:p>
    <w:p w14:paraId="1A00592A" w14:textId="77777777" w:rsidR="00290714" w:rsidRPr="00276E1B" w:rsidRDefault="00290714" w:rsidP="00290714">
      <w:pPr>
        <w:pStyle w:val="Heading1"/>
        <w:spacing w:before="240" w:after="0"/>
        <w:ind w:left="709"/>
      </w:pPr>
      <w:bookmarkStart w:id="64" w:name="_Toc403555140"/>
      <w:r w:rsidRPr="00276E1B">
        <w:t>Warnings and disclaimers</w:t>
      </w:r>
      <w:bookmarkEnd w:id="64"/>
    </w:p>
    <w:p w14:paraId="1A695828" w14:textId="77777777" w:rsidR="00290714" w:rsidRDefault="00290714" w:rsidP="00290714">
      <w:pPr>
        <w:pStyle w:val="MRNumberedHeading2"/>
      </w:pPr>
      <w:bookmarkStart w:id="65" w:name="_Toc403555141"/>
      <w:r>
        <w:t>While the information contained in this ITT is believed to be correct at the time of issue, neither the Authority nor its advisors will accept any liability for its accuracy, adequacy or completeness, nor will any express or implied warranty be given. This exclusion extends to liability in relation to any statement, opinion or conclusion contained in or any omission from, this ITT (including its annexes) and in respect of any other written or oral communication transmitted (or otherwise made available) to any Bidder. This exclusion does not extend to any fraudulent misrepresentation made by or on behalf of the Authority.</w:t>
      </w:r>
      <w:bookmarkEnd w:id="65"/>
    </w:p>
    <w:p w14:paraId="5667BD56" w14:textId="77777777" w:rsidR="00290714" w:rsidRDefault="00290714" w:rsidP="00290714">
      <w:pPr>
        <w:pStyle w:val="MRNumberedHeading2"/>
      </w:pPr>
      <w:bookmarkStart w:id="66" w:name="_Toc403555142"/>
      <w:r>
        <w:t>If a Bidder proposes to enter into a contract with the Authority, it must rely on its own enquiries and on the terms and conditions set out in the contract(s) (as and when finally executed), subject to the limitations and restrictions specified in it.</w:t>
      </w:r>
      <w:bookmarkEnd w:id="66"/>
    </w:p>
    <w:p w14:paraId="64D77F08" w14:textId="77777777" w:rsidR="00290714" w:rsidRDefault="00290714" w:rsidP="00290714">
      <w:pPr>
        <w:pStyle w:val="MRNumberedHeading2"/>
      </w:pPr>
      <w:bookmarkStart w:id="67" w:name="_Toc403555143"/>
      <w:r>
        <w:t>Neither the issue of this ITT, nor any of the information presented in it, should be regarded as a commitment or representation on the part of the Authority (or any other person) to enter into a contractual arrangement.</w:t>
      </w:r>
      <w:bookmarkEnd w:id="67"/>
    </w:p>
    <w:p w14:paraId="3A313A3C" w14:textId="77777777" w:rsidR="00290714" w:rsidRPr="00276E1B" w:rsidRDefault="00290714" w:rsidP="00290714">
      <w:pPr>
        <w:pStyle w:val="Heading1"/>
        <w:spacing w:before="240" w:after="0"/>
        <w:ind w:left="709"/>
      </w:pPr>
      <w:bookmarkStart w:id="68" w:name="_Toc403555144"/>
      <w:r w:rsidRPr="00276E1B">
        <w:t>Freedom of Information Act 2000 and Environmental Information Regulations 2004</w:t>
      </w:r>
      <w:bookmarkEnd w:id="68"/>
    </w:p>
    <w:p w14:paraId="0D93F1F5" w14:textId="77777777" w:rsidR="00290714" w:rsidRPr="001375C3" w:rsidRDefault="00290714" w:rsidP="00290714">
      <w:pPr>
        <w:pStyle w:val="MRNumberedHeading2"/>
      </w:pPr>
      <w:bookmarkStart w:id="69" w:name="_Toc403555145"/>
      <w:r w:rsidRPr="001375C3">
        <w:t>As a public body, the Authority</w:t>
      </w:r>
      <w:r>
        <w:t xml:space="preserve"> is subject to, and must comply</w:t>
      </w:r>
      <w:r w:rsidRPr="001375C3">
        <w:t xml:space="preserve"> with</w:t>
      </w:r>
      <w:r>
        <w:t>, the</w:t>
      </w:r>
      <w:r w:rsidRPr="001375C3">
        <w:t xml:space="preserve"> Freedom of Information Act 2000 ("</w:t>
      </w:r>
      <w:r w:rsidRPr="004C3605">
        <w:rPr>
          <w:b/>
          <w:bCs/>
        </w:rPr>
        <w:t>FOIA</w:t>
      </w:r>
      <w:r w:rsidRPr="001375C3">
        <w:rPr>
          <w:bCs/>
        </w:rPr>
        <w:t>"</w:t>
      </w:r>
      <w:bookmarkStart w:id="70" w:name="_Ref149547605"/>
      <w:r>
        <w:t>) and the Environmental Information Regulations 2004 ("</w:t>
      </w:r>
      <w:r w:rsidRPr="00B80A50">
        <w:rPr>
          <w:b/>
        </w:rPr>
        <w:t>EIR</w:t>
      </w:r>
      <w:r>
        <w:t>"). T</w:t>
      </w:r>
      <w:r w:rsidRPr="001375C3">
        <w:t>he Authority may</w:t>
      </w:r>
      <w:r>
        <w:t xml:space="preserve"> therefore</w:t>
      </w:r>
      <w:r w:rsidRPr="001375C3">
        <w:t xml:space="preserve"> be required to disclose information submitted by the </w:t>
      </w:r>
      <w:r>
        <w:t>Bidder</w:t>
      </w:r>
      <w:r w:rsidRPr="001375C3">
        <w:t>.</w:t>
      </w:r>
      <w:bookmarkEnd w:id="69"/>
      <w:r w:rsidRPr="001375C3">
        <w:t xml:space="preserve"> </w:t>
      </w:r>
      <w:bookmarkEnd w:id="70"/>
    </w:p>
    <w:p w14:paraId="7FB5F587" w14:textId="77777777" w:rsidR="00290714" w:rsidRPr="001375C3" w:rsidRDefault="00290714" w:rsidP="00290714">
      <w:pPr>
        <w:pStyle w:val="MRNumberedHeading2"/>
      </w:pPr>
      <w:bookmarkStart w:id="71" w:name="_Toc403555147"/>
      <w:r>
        <w:t>If a Bidder considers any part of its Tender to be confidential or commercially sensitive, it must complete Annex B5</w:t>
      </w:r>
      <w:r w:rsidRPr="001375C3">
        <w:t xml:space="preserve"> to </w:t>
      </w:r>
      <w:r>
        <w:t>Section B</w:t>
      </w:r>
      <w:r w:rsidRPr="001375C3">
        <w:t xml:space="preserve"> of this ITT, </w:t>
      </w:r>
      <w:r>
        <w:t>with a statement of which exemptions are relevant under FOIA and/or the EIR</w:t>
      </w:r>
      <w:r w:rsidRPr="001375C3">
        <w:t>.</w:t>
      </w:r>
      <w:bookmarkEnd w:id="71"/>
    </w:p>
    <w:p w14:paraId="02993EB9" w14:textId="77777777" w:rsidR="00290714" w:rsidRPr="001375C3" w:rsidRDefault="00290714" w:rsidP="00290714">
      <w:pPr>
        <w:pStyle w:val="MRNumberedHeading2"/>
      </w:pPr>
      <w:bookmarkStart w:id="72" w:name="_Ref149547621"/>
      <w:bookmarkStart w:id="73" w:name="_Toc403555148"/>
      <w:r w:rsidRPr="001375C3">
        <w:t xml:space="preserve">Where a </w:t>
      </w:r>
      <w:r>
        <w:t>Bidder</w:t>
      </w:r>
      <w:r w:rsidRPr="001375C3">
        <w:t xml:space="preserve"> identifies information as commercially sensitive, the Authority will take those views into account.  </w:t>
      </w:r>
      <w:r>
        <w:t>Bidders</w:t>
      </w:r>
      <w:r w:rsidRPr="001375C3">
        <w:t xml:space="preserve"> should note, however, that, even where information is identified as commercially sensitive, the Authority may </w:t>
      </w:r>
      <w:r>
        <w:t xml:space="preserve">be </w:t>
      </w:r>
      <w:r w:rsidRPr="001375C3">
        <w:t>require</w:t>
      </w:r>
      <w:r>
        <w:t>d to</w:t>
      </w:r>
      <w:r w:rsidRPr="001375C3">
        <w:t xml:space="preserve"> disclose such information in accordance with FOIA or the EIR.  Accordingly, the Authority cannot guarantee that </w:t>
      </w:r>
      <w:r>
        <w:t>it will withhold</w:t>
      </w:r>
      <w:r w:rsidRPr="001375C3">
        <w:t xml:space="preserve"> inform</w:t>
      </w:r>
      <w:r>
        <w:t>ation marked ‘confidential’, '</w:t>
      </w:r>
      <w:r w:rsidRPr="001375C3">
        <w:t>commer</w:t>
      </w:r>
      <w:r>
        <w:t>cially sensitive'</w:t>
      </w:r>
      <w:r w:rsidRPr="001375C3">
        <w:t xml:space="preserve"> </w:t>
      </w:r>
      <w:bookmarkEnd w:id="72"/>
      <w:r>
        <w:t>or otherwise exempt.</w:t>
      </w:r>
      <w:bookmarkEnd w:id="73"/>
    </w:p>
    <w:p w14:paraId="4C07EA4A" w14:textId="77777777" w:rsidR="00290714" w:rsidRPr="00276E1B" w:rsidRDefault="00290714" w:rsidP="00290714">
      <w:pPr>
        <w:pStyle w:val="Heading1"/>
        <w:spacing w:before="240" w:after="0"/>
        <w:ind w:left="709"/>
      </w:pPr>
      <w:bookmarkStart w:id="74" w:name="_Toc403555149"/>
      <w:r w:rsidRPr="00276E1B">
        <w:t>Publicity</w:t>
      </w:r>
      <w:bookmarkEnd w:id="74"/>
    </w:p>
    <w:p w14:paraId="66B403BB" w14:textId="77777777" w:rsidR="00290714" w:rsidRPr="00541CDA" w:rsidRDefault="00290714" w:rsidP="00290714">
      <w:pPr>
        <w:pStyle w:val="MRNumberedHeading2"/>
      </w:pPr>
      <w:bookmarkStart w:id="75" w:name="_Toc403555150"/>
      <w:r>
        <w:t>No publicity regarding the procurement or the award of any c</w:t>
      </w:r>
      <w:r w:rsidRPr="00541CDA">
        <w:t xml:space="preserve">ontract will be permitted unless and until the Authority has given express written consent to the relevant communication. </w:t>
      </w:r>
      <w:bookmarkEnd w:id="75"/>
    </w:p>
    <w:p w14:paraId="23000E87" w14:textId="77777777" w:rsidR="00290714" w:rsidRPr="00276E1B" w:rsidRDefault="00290714" w:rsidP="00290714">
      <w:pPr>
        <w:pStyle w:val="Heading1"/>
        <w:spacing w:before="240" w:after="0"/>
        <w:ind w:left="709"/>
      </w:pPr>
      <w:bookmarkStart w:id="76" w:name="a699927"/>
      <w:bookmarkStart w:id="77" w:name="_Toc403555151"/>
      <w:bookmarkEnd w:id="76"/>
      <w:r w:rsidRPr="00276E1B">
        <w:t>Bidder conduct and conflicts of interest</w:t>
      </w:r>
      <w:bookmarkEnd w:id="77"/>
    </w:p>
    <w:p w14:paraId="543A129B" w14:textId="77777777" w:rsidR="00290714" w:rsidRPr="00491808" w:rsidRDefault="00290714" w:rsidP="00290714">
      <w:pPr>
        <w:pStyle w:val="MRNumberedHeading2"/>
      </w:pPr>
      <w:bookmarkStart w:id="78" w:name="_Toc403555152"/>
      <w:r w:rsidRPr="00491808">
        <w:t xml:space="preserve">Any attempt by </w:t>
      </w:r>
      <w:r>
        <w:t>Bidders</w:t>
      </w:r>
      <w:r w:rsidRPr="00491808">
        <w:t xml:space="preserve"> or their advisors to influence the contract award process in any way may result in the </w:t>
      </w:r>
      <w:r>
        <w:t>Bidder</w:t>
      </w:r>
      <w:r w:rsidRPr="00491808">
        <w:t xml:space="preserve"> being disqualified. Specifically, </w:t>
      </w:r>
      <w:r>
        <w:t>Bidders</w:t>
      </w:r>
      <w:r w:rsidRPr="00491808">
        <w:t xml:space="preserve"> shall not directly or indirectly at any time:</w:t>
      </w:r>
      <w:bookmarkEnd w:id="78"/>
    </w:p>
    <w:p w14:paraId="52E89BAD" w14:textId="77777777" w:rsidR="00290714" w:rsidRPr="007301E9" w:rsidRDefault="00290714" w:rsidP="00290714">
      <w:pPr>
        <w:pStyle w:val="MRNumberedHeading3"/>
        <w:numPr>
          <w:ilvl w:val="2"/>
          <w:numId w:val="18"/>
        </w:numPr>
        <w:tabs>
          <w:tab w:val="clear" w:pos="2214"/>
          <w:tab w:val="num" w:pos="1794"/>
        </w:tabs>
        <w:spacing w:line="240" w:lineRule="auto"/>
        <w:ind w:left="1702" w:hanging="851"/>
        <w:jc w:val="both"/>
        <w:rPr>
          <w:bCs/>
        </w:rPr>
      </w:pPr>
      <w:r w:rsidRPr="007301E9">
        <w:rPr>
          <w:bCs/>
        </w:rPr>
        <w:t xml:space="preserve">devise or amend the content of their Tender in accordance with any agreement or arrangement with any other person, other than in good faith with a person who is a proposed partner, supplier, consortium member or provider of finance; </w:t>
      </w:r>
    </w:p>
    <w:p w14:paraId="40A90DBF" w14:textId="77777777" w:rsidR="00290714" w:rsidRPr="007301E9" w:rsidRDefault="00290714" w:rsidP="00290714">
      <w:pPr>
        <w:pStyle w:val="MRNumberedHeading3"/>
        <w:numPr>
          <w:ilvl w:val="2"/>
          <w:numId w:val="18"/>
        </w:numPr>
        <w:tabs>
          <w:tab w:val="clear" w:pos="2214"/>
          <w:tab w:val="num" w:pos="1794"/>
        </w:tabs>
        <w:spacing w:line="240" w:lineRule="auto"/>
        <w:ind w:left="1702" w:hanging="851"/>
        <w:jc w:val="both"/>
        <w:rPr>
          <w:bCs/>
        </w:rPr>
      </w:pPr>
      <w:r w:rsidRPr="007301E9">
        <w:rPr>
          <w:bCs/>
        </w:rPr>
        <w:lastRenderedPageBreak/>
        <w:t>enter into any agreement or arrangement with any other person as to th</w:t>
      </w:r>
      <w:r>
        <w:rPr>
          <w:bCs/>
        </w:rPr>
        <w:t>e form or content of any other T</w:t>
      </w:r>
      <w:r w:rsidRPr="007301E9">
        <w:rPr>
          <w:bCs/>
        </w:rPr>
        <w:t>ender, or offer to pay any sum of money or valuable consideration to any person to effect changes to the form or content of any o</w:t>
      </w:r>
      <w:r>
        <w:rPr>
          <w:bCs/>
        </w:rPr>
        <w:t>ther T</w:t>
      </w:r>
      <w:r w:rsidRPr="007301E9">
        <w:rPr>
          <w:bCs/>
        </w:rPr>
        <w:t xml:space="preserve">ender; </w:t>
      </w:r>
    </w:p>
    <w:p w14:paraId="30812052" w14:textId="77777777" w:rsidR="00290714" w:rsidRPr="007301E9" w:rsidRDefault="00290714" w:rsidP="00290714">
      <w:pPr>
        <w:pStyle w:val="MRNumberedHeading3"/>
        <w:numPr>
          <w:ilvl w:val="2"/>
          <w:numId w:val="18"/>
        </w:numPr>
        <w:tabs>
          <w:tab w:val="clear" w:pos="2214"/>
          <w:tab w:val="num" w:pos="1794"/>
        </w:tabs>
        <w:spacing w:line="240" w:lineRule="auto"/>
        <w:ind w:left="1702" w:hanging="851"/>
        <w:jc w:val="both"/>
        <w:rPr>
          <w:bCs/>
        </w:rPr>
      </w:pPr>
      <w:r w:rsidRPr="007301E9">
        <w:rPr>
          <w:bCs/>
        </w:rPr>
        <w:t xml:space="preserve">enter into any agreement or arrangement with any other person that has the effect of prohibiting or excluding that </w:t>
      </w:r>
      <w:r>
        <w:rPr>
          <w:bCs/>
        </w:rPr>
        <w:t>person from submitting a T</w:t>
      </w:r>
      <w:r w:rsidRPr="007301E9">
        <w:rPr>
          <w:bCs/>
        </w:rPr>
        <w:t>ender;</w:t>
      </w:r>
    </w:p>
    <w:p w14:paraId="64C1ABA6" w14:textId="77777777" w:rsidR="00290714" w:rsidRPr="007301E9" w:rsidRDefault="00290714" w:rsidP="00290714">
      <w:pPr>
        <w:pStyle w:val="MRNumberedHeading3"/>
        <w:numPr>
          <w:ilvl w:val="2"/>
          <w:numId w:val="18"/>
        </w:numPr>
        <w:tabs>
          <w:tab w:val="clear" w:pos="2214"/>
          <w:tab w:val="num" w:pos="1794"/>
        </w:tabs>
        <w:spacing w:line="240" w:lineRule="auto"/>
        <w:ind w:left="1702" w:hanging="851"/>
        <w:jc w:val="both"/>
        <w:rPr>
          <w:bCs/>
        </w:rPr>
      </w:pPr>
      <w:r w:rsidRPr="007301E9">
        <w:rPr>
          <w:bCs/>
        </w:rPr>
        <w:t>canvass the Authority or any employees or agents of the Authority in relation to this procurement; and/or</w:t>
      </w:r>
    </w:p>
    <w:p w14:paraId="74E2F28B" w14:textId="77777777" w:rsidR="00290714" w:rsidRPr="007301E9" w:rsidRDefault="00290714" w:rsidP="00290714">
      <w:pPr>
        <w:pStyle w:val="MRNumberedHeading3"/>
        <w:numPr>
          <w:ilvl w:val="2"/>
          <w:numId w:val="18"/>
        </w:numPr>
        <w:tabs>
          <w:tab w:val="clear" w:pos="2214"/>
          <w:tab w:val="num" w:pos="1794"/>
        </w:tabs>
        <w:spacing w:line="240" w:lineRule="auto"/>
        <w:ind w:left="1702" w:hanging="851"/>
        <w:jc w:val="both"/>
        <w:rPr>
          <w:bCs/>
        </w:rPr>
      </w:pPr>
      <w:r w:rsidRPr="007301E9">
        <w:rPr>
          <w:bCs/>
        </w:rPr>
        <w:t>attempt to obtain information from any of the employees or agents of the Authority or their advisors concerning another bidder</w:t>
      </w:r>
      <w:r>
        <w:rPr>
          <w:bCs/>
        </w:rPr>
        <w:t xml:space="preserve"> or T</w:t>
      </w:r>
      <w:r w:rsidRPr="007301E9">
        <w:rPr>
          <w:bCs/>
        </w:rPr>
        <w:t xml:space="preserve">ender (except for debrief information requests made through the </w:t>
      </w:r>
      <w:r>
        <w:rPr>
          <w:bCs/>
        </w:rPr>
        <w:t>e-Tendering Portal</w:t>
      </w:r>
      <w:r w:rsidRPr="007301E9">
        <w:rPr>
          <w:bCs/>
        </w:rPr>
        <w:t>).</w:t>
      </w:r>
    </w:p>
    <w:p w14:paraId="417FA646" w14:textId="77777777" w:rsidR="00290714" w:rsidRPr="00645517" w:rsidRDefault="00290714" w:rsidP="00290714">
      <w:pPr>
        <w:pStyle w:val="MRNumberedHeading2"/>
      </w:pPr>
      <w:bookmarkStart w:id="79" w:name="_Toc403555153"/>
      <w:r>
        <w:t>Bidders</w:t>
      </w:r>
      <w:r w:rsidRPr="00645517">
        <w:t xml:space="preserve"> are responsible for ensuring that no conflicts of interest exist between the </w:t>
      </w:r>
      <w:r>
        <w:t>Bidder</w:t>
      </w:r>
      <w:r w:rsidRPr="00645517">
        <w:t xml:space="preserve"> and its advisers, and the Authority and its advisors. </w:t>
      </w:r>
      <w:r>
        <w:t xml:space="preserve">Bidders should notify the Authority promptly of any possible conflict and the proposed steps that the Bidder believes can be taken to avoid the conflict. </w:t>
      </w:r>
      <w:r w:rsidRPr="00645517">
        <w:t xml:space="preserve">Any </w:t>
      </w:r>
      <w:r>
        <w:t>Bidder who fails to comply with these</w:t>
      </w:r>
      <w:r w:rsidRPr="00645517">
        <w:t xml:space="preserve"> requirement</w:t>
      </w:r>
      <w:r>
        <w:t>s</w:t>
      </w:r>
      <w:r w:rsidRPr="00645517">
        <w:t xml:space="preserve"> may be </w:t>
      </w:r>
      <w:r>
        <w:t>excluded</w:t>
      </w:r>
      <w:r w:rsidRPr="00645517">
        <w:t xml:space="preserve"> from the procurement at the discretion of the Authority.</w:t>
      </w:r>
      <w:bookmarkEnd w:id="79"/>
      <w:r>
        <w:t xml:space="preserve">    </w:t>
      </w:r>
    </w:p>
    <w:p w14:paraId="591A94EF" w14:textId="77777777" w:rsidR="00290714" w:rsidRPr="00491808" w:rsidRDefault="00290714" w:rsidP="00290714">
      <w:pPr>
        <w:pStyle w:val="Heading1"/>
        <w:spacing w:before="240" w:after="0"/>
        <w:ind w:left="709"/>
      </w:pPr>
      <w:bookmarkStart w:id="80" w:name="a582432"/>
      <w:bookmarkStart w:id="81" w:name="_Toc403555154"/>
      <w:bookmarkEnd w:id="80"/>
      <w:r w:rsidRPr="00491808">
        <w:t>Authority's rights</w:t>
      </w:r>
      <w:bookmarkEnd w:id="81"/>
    </w:p>
    <w:p w14:paraId="6BD075EE" w14:textId="77777777" w:rsidR="00290714" w:rsidRPr="00491808" w:rsidRDefault="00290714" w:rsidP="00290714">
      <w:pPr>
        <w:pStyle w:val="MRNumberedHeading2"/>
      </w:pPr>
      <w:bookmarkStart w:id="82" w:name="_Toc403555155"/>
      <w:r>
        <w:t>Subject to its obligations to act in a transparent, proportionate and non-discriminatory manner, t</w:t>
      </w:r>
      <w:r w:rsidRPr="00491808">
        <w:t>he Authority reserves the right to:</w:t>
      </w:r>
      <w:bookmarkEnd w:id="82"/>
    </w:p>
    <w:p w14:paraId="374914E3" w14:textId="77777777" w:rsidR="00290714" w:rsidRPr="007301E9" w:rsidRDefault="00290714" w:rsidP="00290714">
      <w:pPr>
        <w:pStyle w:val="MRNumberedHeading3"/>
        <w:numPr>
          <w:ilvl w:val="2"/>
          <w:numId w:val="18"/>
        </w:numPr>
        <w:tabs>
          <w:tab w:val="clear" w:pos="2214"/>
          <w:tab w:val="num" w:pos="1794"/>
        </w:tabs>
        <w:spacing w:line="240" w:lineRule="auto"/>
        <w:ind w:left="1702" w:hanging="851"/>
        <w:jc w:val="both"/>
        <w:rPr>
          <w:bCs/>
        </w:rPr>
      </w:pPr>
      <w:r w:rsidRPr="007301E9">
        <w:rPr>
          <w:bCs/>
        </w:rPr>
        <w:t>waive or change the requirements of this ITT from time to time;</w:t>
      </w:r>
    </w:p>
    <w:p w14:paraId="09B311D3" w14:textId="77777777" w:rsidR="00290714" w:rsidRPr="007301E9" w:rsidRDefault="00290714" w:rsidP="00290714">
      <w:pPr>
        <w:pStyle w:val="MRNumberedHeading3"/>
        <w:numPr>
          <w:ilvl w:val="2"/>
          <w:numId w:val="18"/>
        </w:numPr>
        <w:tabs>
          <w:tab w:val="clear" w:pos="2214"/>
          <w:tab w:val="num" w:pos="1794"/>
        </w:tabs>
        <w:spacing w:line="240" w:lineRule="auto"/>
        <w:ind w:left="1702" w:hanging="851"/>
        <w:jc w:val="both"/>
        <w:rPr>
          <w:bCs/>
        </w:rPr>
      </w:pPr>
      <w:r w:rsidRPr="007301E9">
        <w:rPr>
          <w:bCs/>
        </w:rPr>
        <w:t>seek clarification or documents in respect of a Bidder's submission;</w:t>
      </w:r>
    </w:p>
    <w:p w14:paraId="35BF7876" w14:textId="77777777" w:rsidR="00290714" w:rsidRPr="007301E9" w:rsidRDefault="00290714" w:rsidP="00290714">
      <w:pPr>
        <w:pStyle w:val="MRNumberedHeading3"/>
        <w:numPr>
          <w:ilvl w:val="2"/>
          <w:numId w:val="18"/>
        </w:numPr>
        <w:tabs>
          <w:tab w:val="clear" w:pos="2214"/>
          <w:tab w:val="num" w:pos="1794"/>
        </w:tabs>
        <w:spacing w:line="240" w:lineRule="auto"/>
        <w:ind w:left="1702" w:hanging="851"/>
        <w:jc w:val="both"/>
        <w:rPr>
          <w:bCs/>
        </w:rPr>
      </w:pPr>
      <w:r w:rsidRPr="007301E9">
        <w:rPr>
          <w:bCs/>
        </w:rPr>
        <w:t>disqualify any Bidder that does not submit a compliant Tender in accordance with the instructions in this ITT;</w:t>
      </w:r>
    </w:p>
    <w:p w14:paraId="0D7D122C" w14:textId="77777777" w:rsidR="00290714" w:rsidRPr="007301E9" w:rsidRDefault="00290714" w:rsidP="00290714">
      <w:pPr>
        <w:pStyle w:val="MRNumberedHeading3"/>
        <w:numPr>
          <w:ilvl w:val="2"/>
          <w:numId w:val="18"/>
        </w:numPr>
        <w:tabs>
          <w:tab w:val="clear" w:pos="2214"/>
          <w:tab w:val="num" w:pos="1794"/>
        </w:tabs>
        <w:spacing w:line="240" w:lineRule="auto"/>
        <w:ind w:left="1702" w:hanging="851"/>
        <w:jc w:val="both"/>
        <w:rPr>
          <w:bCs/>
        </w:rPr>
      </w:pPr>
      <w:r w:rsidRPr="007301E9">
        <w:rPr>
          <w:bCs/>
        </w:rPr>
        <w:t>disqualify any Bidder that is guilty of serious misrepresent</w:t>
      </w:r>
      <w:r>
        <w:rPr>
          <w:bCs/>
        </w:rPr>
        <w:t>ation in relation to its Tender</w:t>
      </w:r>
      <w:r w:rsidRPr="007301E9">
        <w:rPr>
          <w:bCs/>
        </w:rPr>
        <w:t xml:space="preserve"> </w:t>
      </w:r>
      <w:r>
        <w:rPr>
          <w:bCs/>
        </w:rPr>
        <w:t>or the T</w:t>
      </w:r>
      <w:r w:rsidRPr="007301E9">
        <w:rPr>
          <w:bCs/>
        </w:rPr>
        <w:t>ender process;</w:t>
      </w:r>
    </w:p>
    <w:p w14:paraId="122EEA85" w14:textId="77777777" w:rsidR="00290714" w:rsidRPr="007301E9" w:rsidRDefault="00290714" w:rsidP="00290714">
      <w:pPr>
        <w:pStyle w:val="MRNumberedHeading3"/>
        <w:numPr>
          <w:ilvl w:val="2"/>
          <w:numId w:val="18"/>
        </w:numPr>
        <w:tabs>
          <w:tab w:val="clear" w:pos="2214"/>
          <w:tab w:val="num" w:pos="1794"/>
        </w:tabs>
        <w:spacing w:line="240" w:lineRule="auto"/>
        <w:ind w:left="1702" w:hanging="851"/>
        <w:jc w:val="both"/>
        <w:rPr>
          <w:bCs/>
        </w:rPr>
      </w:pPr>
      <w:r w:rsidRPr="007301E9">
        <w:rPr>
          <w:bCs/>
        </w:rPr>
        <w:t>wit</w:t>
      </w:r>
      <w:r>
        <w:rPr>
          <w:bCs/>
        </w:rPr>
        <w:t xml:space="preserve">hdraw this ITT at any time, or </w:t>
      </w:r>
      <w:r w:rsidRPr="007301E9">
        <w:rPr>
          <w:bCs/>
        </w:rPr>
        <w:t xml:space="preserve">re-invite Tenders on the same or any alternative basis; </w:t>
      </w:r>
    </w:p>
    <w:p w14:paraId="2CE79D33" w14:textId="77777777" w:rsidR="00290714" w:rsidRPr="007301E9" w:rsidRDefault="00290714" w:rsidP="00290714">
      <w:pPr>
        <w:pStyle w:val="MRNumberedHeading3"/>
        <w:numPr>
          <w:ilvl w:val="2"/>
          <w:numId w:val="18"/>
        </w:numPr>
        <w:tabs>
          <w:tab w:val="clear" w:pos="2214"/>
          <w:tab w:val="num" w:pos="1794"/>
        </w:tabs>
        <w:spacing w:line="240" w:lineRule="auto"/>
        <w:ind w:left="1702" w:hanging="851"/>
        <w:jc w:val="both"/>
        <w:rPr>
          <w:bCs/>
        </w:rPr>
      </w:pPr>
      <w:r w:rsidRPr="007301E9">
        <w:rPr>
          <w:bCs/>
        </w:rPr>
        <w:t>choose not to award any contract as a result of the current procurement process; and</w:t>
      </w:r>
    </w:p>
    <w:p w14:paraId="4C867FCC" w14:textId="77777777" w:rsidR="00290714" w:rsidRPr="007301E9" w:rsidRDefault="00290714" w:rsidP="00290714">
      <w:pPr>
        <w:pStyle w:val="MRNumberedHeading3"/>
        <w:numPr>
          <w:ilvl w:val="2"/>
          <w:numId w:val="18"/>
        </w:numPr>
        <w:tabs>
          <w:tab w:val="clear" w:pos="2214"/>
          <w:tab w:val="num" w:pos="1794"/>
        </w:tabs>
        <w:spacing w:line="240" w:lineRule="auto"/>
        <w:ind w:left="1702" w:hanging="851"/>
        <w:jc w:val="both"/>
        <w:rPr>
          <w:bCs/>
        </w:rPr>
      </w:pPr>
      <w:r w:rsidRPr="007301E9">
        <w:rPr>
          <w:bCs/>
        </w:rPr>
        <w:t>make whatever changes it sees fit to the timetable, structure or content of the procurement process.</w:t>
      </w:r>
    </w:p>
    <w:p w14:paraId="5EE19FE1" w14:textId="77777777" w:rsidR="00290714" w:rsidRPr="00491808" w:rsidRDefault="00290714" w:rsidP="00290714">
      <w:pPr>
        <w:pStyle w:val="Heading1"/>
        <w:spacing w:before="240" w:after="0"/>
        <w:ind w:left="709"/>
      </w:pPr>
      <w:bookmarkStart w:id="83" w:name="a934916"/>
      <w:bookmarkStart w:id="84" w:name="_Toc403555156"/>
      <w:bookmarkEnd w:id="83"/>
      <w:r w:rsidRPr="00491808">
        <w:t>Bid costs</w:t>
      </w:r>
      <w:bookmarkEnd w:id="84"/>
    </w:p>
    <w:p w14:paraId="10BF74BA" w14:textId="77777777" w:rsidR="00290714" w:rsidRDefault="00290714" w:rsidP="00290714">
      <w:pPr>
        <w:pStyle w:val="MRNumberedHeading2"/>
      </w:pPr>
      <w:bookmarkStart w:id="85" w:name="_Toc403555157"/>
      <w:r w:rsidRPr="00491808">
        <w:t xml:space="preserve">The Authority will not be liable for any bid costs, expenditure, work or effort incurred by a </w:t>
      </w:r>
      <w:r>
        <w:t>Bidder</w:t>
      </w:r>
      <w:r w:rsidRPr="00491808">
        <w:t xml:space="preserve"> in proceeding with or participating in this procurement, including if the procurement process is terminated or amended by the Authority.</w:t>
      </w:r>
      <w:bookmarkEnd w:id="85"/>
    </w:p>
    <w:p w14:paraId="1BEDABF6" w14:textId="77777777" w:rsidR="00290714" w:rsidRPr="00276E1B" w:rsidRDefault="00290714" w:rsidP="00290714">
      <w:pPr>
        <w:pStyle w:val="Heading1"/>
        <w:spacing w:before="240" w:after="0"/>
        <w:ind w:left="709"/>
      </w:pPr>
      <w:bookmarkStart w:id="86" w:name="_Toc403555158"/>
      <w:r w:rsidRPr="00276E1B">
        <w:t>Language</w:t>
      </w:r>
      <w:bookmarkEnd w:id="86"/>
    </w:p>
    <w:p w14:paraId="07EAAC2D" w14:textId="77777777" w:rsidR="00290714" w:rsidRDefault="00290714" w:rsidP="00290714">
      <w:pPr>
        <w:pStyle w:val="MRNumberedHeading2"/>
      </w:pPr>
      <w:bookmarkStart w:id="87" w:name="_Toc403555159"/>
      <w:r w:rsidRPr="00A24900">
        <w:t xml:space="preserve">Tenders, all documents and all </w:t>
      </w:r>
      <w:r>
        <w:t>correspondence relating to the T</w:t>
      </w:r>
      <w:r w:rsidRPr="00A24900">
        <w:t>ender must be written in English.</w:t>
      </w:r>
      <w:bookmarkEnd w:id="87"/>
    </w:p>
    <w:p w14:paraId="50DBE97A" w14:textId="77777777" w:rsidR="00290714" w:rsidRPr="00276E1B" w:rsidRDefault="00290714" w:rsidP="00290714">
      <w:pPr>
        <w:pStyle w:val="Heading1"/>
        <w:spacing w:before="240" w:after="0"/>
        <w:ind w:left="709"/>
      </w:pPr>
      <w:bookmarkStart w:id="88" w:name="_Toc403555160"/>
      <w:r w:rsidRPr="00276E1B">
        <w:t>Transparency</w:t>
      </w:r>
      <w:bookmarkEnd w:id="88"/>
      <w:r w:rsidRPr="00276E1B">
        <w:t xml:space="preserve">  </w:t>
      </w:r>
    </w:p>
    <w:p w14:paraId="1F98D0D4" w14:textId="77777777" w:rsidR="00290714" w:rsidRDefault="00290714" w:rsidP="00290714">
      <w:pPr>
        <w:pStyle w:val="MRNumberedHeading2"/>
      </w:pPr>
      <w:bookmarkStart w:id="89" w:name="_Toc403555161"/>
      <w:bookmarkStart w:id="90" w:name="_Ref405453244"/>
      <w:r>
        <w:t xml:space="preserve">In accordance with the Public Contracts Regulations 2015 and the Government’s policy on transparency, Bidders should be aware that the Authority intends to make the ITT and details </w:t>
      </w:r>
      <w:r>
        <w:lastRenderedPageBreak/>
        <w:t>of any subsequent contract publicly available, by publication on the Government</w:t>
      </w:r>
      <w:bookmarkEnd w:id="89"/>
      <w:bookmarkEnd w:id="90"/>
      <w:r>
        <w:t xml:space="preserve">'s Contracts Finder portal. </w:t>
      </w:r>
    </w:p>
    <w:p w14:paraId="449010E2" w14:textId="77777777" w:rsidR="00290714" w:rsidRPr="00276E1B" w:rsidRDefault="00290714" w:rsidP="00290714">
      <w:pPr>
        <w:pStyle w:val="Heading1"/>
        <w:spacing w:before="240" w:after="0"/>
        <w:ind w:left="709"/>
      </w:pPr>
      <w:bookmarkStart w:id="91" w:name="_Toc403555162"/>
      <w:r w:rsidRPr="00276E1B">
        <w:t>Governing Law and Jurisdiction</w:t>
      </w:r>
      <w:bookmarkEnd w:id="91"/>
      <w:r w:rsidRPr="00276E1B">
        <w:t xml:space="preserve"> </w:t>
      </w:r>
    </w:p>
    <w:p w14:paraId="65E48CF5" w14:textId="77777777" w:rsidR="00290714" w:rsidRPr="005A2E47" w:rsidRDefault="00290714" w:rsidP="00290714">
      <w:pPr>
        <w:pStyle w:val="MRNumberedHeading2"/>
      </w:pPr>
      <w:bookmarkStart w:id="92" w:name="_Toc403555163"/>
      <w:r>
        <w:t>This ITT and any dispute concerning it (including non-contractual disputes or claims) shall be governed by English law and subject to the jurisdiction of the English Courts</w:t>
      </w:r>
      <w:bookmarkEnd w:id="92"/>
      <w:r>
        <w:t>.</w:t>
      </w:r>
    </w:p>
    <w:p w14:paraId="5BE93A62" w14:textId="77777777" w:rsidR="0079187F" w:rsidRDefault="0079187F">
      <w:pPr>
        <w:spacing w:after="240"/>
        <w:jc w:val="left"/>
        <w:rPr>
          <w:rFonts w:eastAsia="Calibri" w:cs="Arial"/>
          <w:b/>
          <w:lang w:eastAsia="en-GB"/>
        </w:rPr>
      </w:pPr>
      <w:r>
        <w:br w:type="page"/>
      </w:r>
    </w:p>
    <w:p w14:paraId="094DD207" w14:textId="77777777" w:rsidR="008824CC" w:rsidRPr="008F3D2C" w:rsidRDefault="008731E8" w:rsidP="00172AE4">
      <w:pPr>
        <w:pStyle w:val="MRNumberedHeading1"/>
        <w:numPr>
          <w:ilvl w:val="0"/>
          <w:numId w:val="19"/>
        </w:numPr>
        <w:tabs>
          <w:tab w:val="clear" w:pos="798"/>
          <w:tab w:val="num" w:pos="709"/>
        </w:tabs>
        <w:ind w:hanging="798"/>
        <w:rPr>
          <w:sz w:val="20"/>
          <w:szCs w:val="20"/>
        </w:rPr>
      </w:pPr>
      <w:r w:rsidRPr="008F3D2C">
        <w:rPr>
          <w:sz w:val="20"/>
          <w:szCs w:val="20"/>
        </w:rPr>
        <w:lastRenderedPageBreak/>
        <w:t>TENDER EVALUATION METHODOLOGY AND CRITERIA</w:t>
      </w:r>
      <w:bookmarkEnd w:id="45"/>
      <w:bookmarkEnd w:id="46"/>
      <w:r w:rsidRPr="008F3D2C">
        <w:rPr>
          <w:sz w:val="20"/>
          <w:szCs w:val="20"/>
        </w:rPr>
        <w:t xml:space="preserve"> </w:t>
      </w:r>
    </w:p>
    <w:p w14:paraId="6C0E1DE5" w14:textId="77777777" w:rsidR="008824CC" w:rsidRDefault="00277BB6" w:rsidP="00337295">
      <w:pPr>
        <w:pStyle w:val="Heading1"/>
        <w:spacing w:before="240" w:after="0"/>
        <w:ind w:left="709"/>
      </w:pPr>
      <w:bookmarkStart w:id="93" w:name="_Toc403555164"/>
      <w:r>
        <w:t>Overview</w:t>
      </w:r>
      <w:bookmarkEnd w:id="93"/>
    </w:p>
    <w:p w14:paraId="09692AC8" w14:textId="77777777" w:rsidR="00BF48A1" w:rsidRDefault="00BF48A1" w:rsidP="006B54D6">
      <w:pPr>
        <w:pStyle w:val="MRNumberedHeading2"/>
      </w:pPr>
      <w:bookmarkStart w:id="94" w:name="_Toc403555165"/>
      <w:r>
        <w:t>T</w:t>
      </w:r>
      <w:r w:rsidRPr="003E3276">
        <w:t>h</w:t>
      </w:r>
      <w:r>
        <w:t>is section of the ITT sets out the criteria that the Authority will use to ev</w:t>
      </w:r>
      <w:r w:rsidR="006A3BFB">
        <w:t>aluate Tenders</w:t>
      </w:r>
      <w:r w:rsidR="00FB21E9">
        <w:t>.</w:t>
      </w:r>
      <w:bookmarkEnd w:id="94"/>
    </w:p>
    <w:p w14:paraId="54349A27" w14:textId="77777777" w:rsidR="00FB21E9" w:rsidRDefault="00FB21E9" w:rsidP="006B54D6">
      <w:pPr>
        <w:pStyle w:val="MRNumberedHeading2"/>
      </w:pPr>
      <w:bookmarkStart w:id="95" w:name="_Toc403555166"/>
      <w:r>
        <w:t>Bidders</w:t>
      </w:r>
      <w:r w:rsidRPr="00A51144">
        <w:t xml:space="preserve"> are required to submit a Tender strictly in accordance with the requirements set out in this ITT, to ensure the Authority has the correct information to make the evaluation. </w:t>
      </w:r>
      <w:r w:rsidR="00F10ACE">
        <w:t xml:space="preserve">If a </w:t>
      </w:r>
      <w:r w:rsidR="007B6206">
        <w:t>T</w:t>
      </w:r>
      <w:r w:rsidR="00F10ACE">
        <w:t>ender is equivocal or unclear, the Authority may deduct marks when scoring it, or it may</w:t>
      </w:r>
      <w:r w:rsidR="00B853EE">
        <w:t xml:space="preserve"> treat the Tender as non-complia</w:t>
      </w:r>
      <w:r w:rsidR="00F10ACE">
        <w:t>nt and reject it.</w:t>
      </w:r>
      <w:bookmarkEnd w:id="95"/>
    </w:p>
    <w:p w14:paraId="1CAD8405" w14:textId="77777777" w:rsidR="00C14AA9" w:rsidRDefault="00C14AA9" w:rsidP="006B54D6">
      <w:pPr>
        <w:pStyle w:val="MRNumberedHeading2"/>
      </w:pPr>
      <w:bookmarkStart w:id="96" w:name="_Toc403555167"/>
      <w:r>
        <w:t>The Authority will award the contract to the Tender that scores the highest marks, applying the methodology below. Scoring will be carried out as follows:</w:t>
      </w:r>
      <w:bookmarkEnd w:id="96"/>
      <w:r>
        <w:t xml:space="preserve"> </w:t>
      </w:r>
    </w:p>
    <w:p w14:paraId="30DFA98D" w14:textId="77777777" w:rsidR="00C14AA9" w:rsidRDefault="00C14AA9" w:rsidP="00172AE4">
      <w:pPr>
        <w:pStyle w:val="MRNumberedHeading3"/>
        <w:numPr>
          <w:ilvl w:val="2"/>
          <w:numId w:val="18"/>
        </w:numPr>
        <w:tabs>
          <w:tab w:val="clear" w:pos="2214"/>
          <w:tab w:val="num" w:pos="1794"/>
        </w:tabs>
        <w:spacing w:line="240" w:lineRule="auto"/>
        <w:ind w:left="1702" w:hanging="851"/>
        <w:jc w:val="both"/>
      </w:pPr>
      <w:r>
        <w:t>The Bidder must pass all eligibility questions in Annex B1</w:t>
      </w:r>
      <w:r w:rsidR="0050545F">
        <w:t xml:space="preserve"> of Section B</w:t>
      </w:r>
      <w:r>
        <w:t xml:space="preserve"> (Annex of eligibility questions and responses) ("</w:t>
      </w:r>
      <w:r w:rsidR="001E1DE2" w:rsidRPr="004B6544">
        <w:rPr>
          <w:b/>
        </w:rPr>
        <w:t>Eligibility</w:t>
      </w:r>
      <w:r w:rsidRPr="004B6544">
        <w:rPr>
          <w:b/>
        </w:rPr>
        <w:t xml:space="preserve"> Questions</w:t>
      </w:r>
      <w:r>
        <w:t>").</w:t>
      </w:r>
    </w:p>
    <w:p w14:paraId="7C5798B8" w14:textId="77777777" w:rsidR="00C14AA9" w:rsidRDefault="00C14AA9" w:rsidP="00172AE4">
      <w:pPr>
        <w:pStyle w:val="MRNumberedHeading3"/>
        <w:numPr>
          <w:ilvl w:val="2"/>
          <w:numId w:val="18"/>
        </w:numPr>
        <w:tabs>
          <w:tab w:val="clear" w:pos="2214"/>
          <w:tab w:val="num" w:pos="1794"/>
        </w:tabs>
        <w:spacing w:line="240" w:lineRule="auto"/>
        <w:ind w:left="1702" w:hanging="851"/>
        <w:jc w:val="both"/>
      </w:pPr>
      <w:r>
        <w:t>The Authority will then mark An</w:t>
      </w:r>
      <w:r w:rsidR="00D63140">
        <w:t xml:space="preserve">nex B2 </w:t>
      </w:r>
      <w:r w:rsidR="0050545F">
        <w:t xml:space="preserve">of Section B </w:t>
      </w:r>
      <w:r w:rsidR="00D63140">
        <w:t>(Specification) an</w:t>
      </w:r>
      <w:r w:rsidR="009E6FB5">
        <w:t>d</w:t>
      </w:r>
      <w:r>
        <w:t xml:space="preserve"> Annex B3 </w:t>
      </w:r>
      <w:r w:rsidR="0050545F">
        <w:t xml:space="preserve">of Section B </w:t>
      </w:r>
      <w:r>
        <w:t>(</w:t>
      </w:r>
      <w:r w:rsidR="0079187F">
        <w:t>Tender Response Document</w:t>
      </w:r>
      <w:r>
        <w:t>) ("</w:t>
      </w:r>
      <w:r w:rsidRPr="004B6544">
        <w:rPr>
          <w:b/>
        </w:rPr>
        <w:t>Scored Questions</w:t>
      </w:r>
      <w:r>
        <w:t>") for all Bidders that pass all the Eligibil</w:t>
      </w:r>
      <w:r w:rsidR="0079187F">
        <w:t>i</w:t>
      </w:r>
      <w:r>
        <w:t xml:space="preserve">ty Questions. </w:t>
      </w:r>
    </w:p>
    <w:p w14:paraId="3E6D6E63" w14:textId="77777777" w:rsidR="00C14AA9" w:rsidRDefault="00C14AA9" w:rsidP="006B54D6">
      <w:pPr>
        <w:pStyle w:val="MRNumberedHeading2"/>
      </w:pPr>
      <w:bookmarkStart w:id="97" w:name="_Toc403555168"/>
      <w:r>
        <w:t xml:space="preserve">The Authority will mark Eligibility Questions as described in paragraphs </w:t>
      </w:r>
      <w:r w:rsidR="00A77338">
        <w:fldChar w:fldCharType="begin"/>
      </w:r>
      <w:r w:rsidR="00A77338">
        <w:instrText xml:space="preserve"> REF _Ref403484377 \r \h </w:instrText>
      </w:r>
      <w:r w:rsidR="00A77338">
        <w:fldChar w:fldCharType="separate"/>
      </w:r>
      <w:r w:rsidR="00336D0E">
        <w:t>4.5</w:t>
      </w:r>
      <w:r w:rsidR="00A77338">
        <w:fldChar w:fldCharType="end"/>
      </w:r>
      <w:r w:rsidR="00A77338">
        <w:t xml:space="preserve"> to </w:t>
      </w:r>
      <w:r w:rsidR="00A77338">
        <w:fldChar w:fldCharType="begin"/>
      </w:r>
      <w:r w:rsidR="00A77338">
        <w:instrText xml:space="preserve"> REF _Ref403484379 \r \h </w:instrText>
      </w:r>
      <w:r w:rsidR="00A77338">
        <w:fldChar w:fldCharType="separate"/>
      </w:r>
      <w:r w:rsidR="00336D0E">
        <w:t>4.7</w:t>
      </w:r>
      <w:r w:rsidR="00A77338">
        <w:fldChar w:fldCharType="end"/>
      </w:r>
      <w:r w:rsidR="00A77338">
        <w:t xml:space="preserve"> </w:t>
      </w:r>
      <w:r>
        <w:t xml:space="preserve">below.  It will mark the Scored Questions as described in paragraphs </w:t>
      </w:r>
      <w:r w:rsidR="00A77338">
        <w:fldChar w:fldCharType="begin"/>
      </w:r>
      <w:r w:rsidR="00A77338">
        <w:instrText xml:space="preserve"> REF _Ref403401459 \r \h </w:instrText>
      </w:r>
      <w:r w:rsidR="00A77338">
        <w:fldChar w:fldCharType="separate"/>
      </w:r>
      <w:r w:rsidR="00336D0E">
        <w:t>4.8</w:t>
      </w:r>
      <w:r w:rsidR="00A77338">
        <w:fldChar w:fldCharType="end"/>
      </w:r>
      <w:r w:rsidR="00A77338">
        <w:t xml:space="preserve"> to </w:t>
      </w:r>
      <w:bookmarkEnd w:id="97"/>
      <w:r w:rsidR="009E1581">
        <w:fldChar w:fldCharType="begin"/>
      </w:r>
      <w:r w:rsidR="009E1581">
        <w:instrText xml:space="preserve"> REF _Ref408579700 \r \h </w:instrText>
      </w:r>
      <w:r w:rsidR="009E1581">
        <w:fldChar w:fldCharType="separate"/>
      </w:r>
      <w:r w:rsidR="00336D0E">
        <w:t>4.12</w:t>
      </w:r>
      <w:r w:rsidR="009E1581">
        <w:fldChar w:fldCharType="end"/>
      </w:r>
    </w:p>
    <w:p w14:paraId="33483BF4" w14:textId="77777777" w:rsidR="00C14AA9" w:rsidRDefault="00C14AA9" w:rsidP="00337295">
      <w:pPr>
        <w:pStyle w:val="Heading1"/>
        <w:spacing w:before="240" w:after="0"/>
        <w:ind w:left="709"/>
      </w:pPr>
      <w:bookmarkStart w:id="98" w:name="_Toc403555169"/>
      <w:r>
        <w:t>Criteria – Eligibility Questions</w:t>
      </w:r>
      <w:bookmarkEnd w:id="98"/>
    </w:p>
    <w:p w14:paraId="3A45A0C7" w14:textId="77777777" w:rsidR="00B44E25" w:rsidRDefault="00C14AA9" w:rsidP="006B54D6">
      <w:pPr>
        <w:pStyle w:val="MRNumberedHeading2"/>
      </w:pPr>
      <w:bookmarkStart w:id="99" w:name="_Ref403484377"/>
      <w:bookmarkStart w:id="100" w:name="_Toc403555170"/>
      <w:r>
        <w:t>The Authority will score Eligibility Questions on the following basis:</w:t>
      </w:r>
      <w:bookmarkEnd w:id="99"/>
      <w:bookmarkEnd w:id="100"/>
    </w:p>
    <w:p w14:paraId="384BA73E" w14:textId="77777777" w:rsidR="00AE400B" w:rsidRPr="00AE400B" w:rsidRDefault="00AE400B" w:rsidP="00AE400B">
      <w:pPr>
        <w:spacing w:before="240"/>
        <w:jc w:val="left"/>
        <w:outlineLvl w:val="1"/>
        <w:rPr>
          <w:rFonts w:eastAsia="Times New Roman" w:cs="Times New Roman"/>
          <w:szCs w:val="24"/>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5571"/>
      </w:tblGrid>
      <w:tr w:rsidR="00AE400B" w:rsidRPr="00AE400B" w14:paraId="53B92D3D" w14:textId="77777777" w:rsidTr="00DD4504">
        <w:tc>
          <w:tcPr>
            <w:tcW w:w="2693" w:type="dxa"/>
            <w:shd w:val="clear" w:color="auto" w:fill="A6A6A6"/>
          </w:tcPr>
          <w:p w14:paraId="3F379ABC" w14:textId="77777777" w:rsidR="00AE400B" w:rsidRPr="00AE400B" w:rsidRDefault="00AE400B" w:rsidP="00AE400B">
            <w:pPr>
              <w:spacing w:after="240"/>
              <w:outlineLvl w:val="2"/>
              <w:rPr>
                <w:color w:val="000000"/>
              </w:rPr>
            </w:pPr>
            <w:r w:rsidRPr="00AE400B">
              <w:rPr>
                <w:color w:val="000000"/>
              </w:rPr>
              <w:t xml:space="preserve">Eligibility Questions </w:t>
            </w:r>
          </w:p>
        </w:tc>
        <w:tc>
          <w:tcPr>
            <w:tcW w:w="5670" w:type="dxa"/>
            <w:shd w:val="clear" w:color="auto" w:fill="A6A6A6"/>
          </w:tcPr>
          <w:p w14:paraId="5F91C784" w14:textId="77777777" w:rsidR="00AE400B" w:rsidRPr="00AE400B" w:rsidRDefault="00AE400B" w:rsidP="00AE400B">
            <w:pPr>
              <w:spacing w:after="240"/>
              <w:outlineLvl w:val="2"/>
              <w:rPr>
                <w:color w:val="000000"/>
              </w:rPr>
            </w:pPr>
            <w:r w:rsidRPr="00AE400B">
              <w:rPr>
                <w:color w:val="000000"/>
              </w:rPr>
              <w:t>Selection criteria</w:t>
            </w:r>
          </w:p>
        </w:tc>
      </w:tr>
      <w:tr w:rsidR="00AE400B" w:rsidRPr="00AE400B" w14:paraId="2F02EDD6" w14:textId="77777777" w:rsidTr="00DD4504">
        <w:tc>
          <w:tcPr>
            <w:tcW w:w="2693" w:type="dxa"/>
            <w:shd w:val="clear" w:color="auto" w:fill="auto"/>
          </w:tcPr>
          <w:p w14:paraId="72F81222" w14:textId="77777777" w:rsidR="00AE400B" w:rsidRPr="00AE400B" w:rsidRDefault="00AE400B" w:rsidP="00172AE4">
            <w:pPr>
              <w:numPr>
                <w:ilvl w:val="0"/>
                <w:numId w:val="21"/>
              </w:numPr>
              <w:spacing w:after="240"/>
              <w:contextualSpacing/>
              <w:outlineLvl w:val="2"/>
              <w:rPr>
                <w:color w:val="000000"/>
              </w:rPr>
            </w:pPr>
            <w:r w:rsidRPr="00AE400B">
              <w:rPr>
                <w:color w:val="000000"/>
              </w:rPr>
              <w:t xml:space="preserve"> Supplier information</w:t>
            </w:r>
          </w:p>
        </w:tc>
        <w:tc>
          <w:tcPr>
            <w:tcW w:w="5670" w:type="dxa"/>
            <w:shd w:val="clear" w:color="auto" w:fill="auto"/>
          </w:tcPr>
          <w:p w14:paraId="7409CD96" w14:textId="77777777" w:rsidR="00AE400B" w:rsidRPr="00AE400B" w:rsidRDefault="00AE400B" w:rsidP="00AE400B">
            <w:pPr>
              <w:spacing w:after="240"/>
              <w:outlineLvl w:val="2"/>
              <w:rPr>
                <w:color w:val="000000"/>
              </w:rPr>
            </w:pPr>
            <w:r w:rsidRPr="00AE400B">
              <w:rPr>
                <w:color w:val="000000"/>
              </w:rPr>
              <w:t>For information only</w:t>
            </w:r>
          </w:p>
        </w:tc>
      </w:tr>
      <w:tr w:rsidR="00AE400B" w:rsidRPr="00AE400B" w14:paraId="3233328D" w14:textId="77777777" w:rsidTr="00DD4504">
        <w:tc>
          <w:tcPr>
            <w:tcW w:w="2693" w:type="dxa"/>
            <w:shd w:val="clear" w:color="auto" w:fill="auto"/>
          </w:tcPr>
          <w:p w14:paraId="602DBE66" w14:textId="77777777" w:rsidR="00AE400B" w:rsidRPr="00AE400B" w:rsidRDefault="00AE400B" w:rsidP="00172AE4">
            <w:pPr>
              <w:numPr>
                <w:ilvl w:val="0"/>
                <w:numId w:val="21"/>
              </w:numPr>
              <w:tabs>
                <w:tab w:val="left" w:pos="459"/>
              </w:tabs>
              <w:spacing w:after="240"/>
              <w:contextualSpacing/>
              <w:outlineLvl w:val="2"/>
              <w:rPr>
                <w:color w:val="000000"/>
              </w:rPr>
            </w:pPr>
            <w:r w:rsidRPr="00AE400B">
              <w:rPr>
                <w:color w:val="000000"/>
              </w:rPr>
              <w:t>Grounds for mandatory exclusion</w:t>
            </w:r>
          </w:p>
        </w:tc>
        <w:tc>
          <w:tcPr>
            <w:tcW w:w="5670" w:type="dxa"/>
            <w:shd w:val="clear" w:color="auto" w:fill="auto"/>
          </w:tcPr>
          <w:p w14:paraId="58C34D8D" w14:textId="0BAD397D" w:rsidR="00AE400B" w:rsidRPr="00AE400B" w:rsidRDefault="00AE400B" w:rsidP="00AE400B">
            <w:pPr>
              <w:spacing w:after="240"/>
              <w:outlineLvl w:val="2"/>
              <w:rPr>
                <w:color w:val="000000"/>
              </w:rPr>
            </w:pPr>
            <w:r w:rsidRPr="00AE400B">
              <w:rPr>
                <w:color w:val="000000"/>
              </w:rPr>
              <w:t>Pass or Fail</w:t>
            </w:r>
          </w:p>
        </w:tc>
      </w:tr>
      <w:tr w:rsidR="00AE400B" w:rsidRPr="00AE400B" w14:paraId="2BCE27EC" w14:textId="77777777" w:rsidTr="00DD4504">
        <w:tc>
          <w:tcPr>
            <w:tcW w:w="2693" w:type="dxa"/>
            <w:shd w:val="clear" w:color="auto" w:fill="auto"/>
          </w:tcPr>
          <w:p w14:paraId="0A688D75" w14:textId="77777777" w:rsidR="00AE400B" w:rsidRPr="00AE400B" w:rsidRDefault="00AE400B" w:rsidP="00172AE4">
            <w:pPr>
              <w:numPr>
                <w:ilvl w:val="0"/>
                <w:numId w:val="21"/>
              </w:numPr>
              <w:spacing w:after="240"/>
              <w:contextualSpacing/>
              <w:outlineLvl w:val="2"/>
              <w:rPr>
                <w:color w:val="000000"/>
              </w:rPr>
            </w:pPr>
            <w:r w:rsidRPr="00AE400B">
              <w:rPr>
                <w:color w:val="000000"/>
              </w:rPr>
              <w:t xml:space="preserve">Grounds for discretionary exclusion </w:t>
            </w:r>
          </w:p>
        </w:tc>
        <w:tc>
          <w:tcPr>
            <w:tcW w:w="5670" w:type="dxa"/>
            <w:shd w:val="clear" w:color="auto" w:fill="auto"/>
          </w:tcPr>
          <w:p w14:paraId="45A43CD9" w14:textId="77777777" w:rsidR="00AE400B" w:rsidRPr="00AE400B" w:rsidRDefault="00AE400B" w:rsidP="00AE400B">
            <w:pPr>
              <w:spacing w:after="240"/>
              <w:outlineLvl w:val="2"/>
              <w:rPr>
                <w:color w:val="000000"/>
              </w:rPr>
            </w:pPr>
            <w:r w:rsidRPr="00AE400B">
              <w:rPr>
                <w:color w:val="000000"/>
              </w:rPr>
              <w:t>Pass or Fail</w:t>
            </w:r>
          </w:p>
        </w:tc>
      </w:tr>
      <w:tr w:rsidR="001C4A07" w:rsidRPr="00AE400B" w14:paraId="76B912AE" w14:textId="77777777" w:rsidTr="00DD4504">
        <w:tc>
          <w:tcPr>
            <w:tcW w:w="2693" w:type="dxa"/>
            <w:shd w:val="clear" w:color="auto" w:fill="auto"/>
          </w:tcPr>
          <w:p w14:paraId="4280EC07" w14:textId="19FD709F" w:rsidR="001C4A07" w:rsidRPr="00AE400B" w:rsidRDefault="00A06F9A" w:rsidP="00172AE4">
            <w:pPr>
              <w:numPr>
                <w:ilvl w:val="0"/>
                <w:numId w:val="21"/>
              </w:numPr>
              <w:spacing w:after="240"/>
              <w:contextualSpacing/>
              <w:outlineLvl w:val="2"/>
              <w:rPr>
                <w:color w:val="000000"/>
              </w:rPr>
            </w:pPr>
            <w:r w:rsidRPr="00A06F9A">
              <w:rPr>
                <w:color w:val="000000"/>
              </w:rPr>
              <w:t>Project specific questions to assess Technical and Professional Ability</w:t>
            </w:r>
          </w:p>
        </w:tc>
        <w:tc>
          <w:tcPr>
            <w:tcW w:w="5670" w:type="dxa"/>
            <w:shd w:val="clear" w:color="auto" w:fill="auto"/>
          </w:tcPr>
          <w:p w14:paraId="66EB94D1" w14:textId="0DC56E2B" w:rsidR="001C4A07" w:rsidRPr="00AE400B" w:rsidRDefault="00A06F9A" w:rsidP="00AE400B">
            <w:pPr>
              <w:spacing w:after="240"/>
              <w:outlineLvl w:val="2"/>
              <w:rPr>
                <w:color w:val="000000"/>
              </w:rPr>
            </w:pPr>
            <w:r>
              <w:rPr>
                <w:color w:val="000000"/>
              </w:rPr>
              <w:t>Pass or Fail</w:t>
            </w:r>
          </w:p>
        </w:tc>
      </w:tr>
    </w:tbl>
    <w:p w14:paraId="0B4020A7" w14:textId="77777777" w:rsidR="00B44E25" w:rsidRDefault="00B44E25" w:rsidP="00AE400B">
      <w:pPr>
        <w:rPr>
          <w:rFonts w:cs="Arial"/>
          <w:b/>
          <w:szCs w:val="22"/>
        </w:rPr>
      </w:pPr>
    </w:p>
    <w:p w14:paraId="79A1A020" w14:textId="77777777" w:rsidR="007C2F2F" w:rsidRPr="007C2F2F" w:rsidRDefault="007C2F2F" w:rsidP="006B54D6">
      <w:pPr>
        <w:pStyle w:val="MRNumberedHeading2"/>
        <w:rPr>
          <w:i/>
        </w:rPr>
      </w:pPr>
      <w:bookmarkStart w:id="101" w:name="_Toc403555171"/>
      <w:r w:rsidRPr="003E3276">
        <w:t>To</w:t>
      </w:r>
      <w:r>
        <w:t xml:space="preserve"> score a "pass"</w:t>
      </w:r>
      <w:r w:rsidR="00A4718B">
        <w:t xml:space="preserve"> for the Eligibility Questions</w:t>
      </w:r>
      <w:r>
        <w:t>, the Tender must adequately address all key points and include</w:t>
      </w:r>
      <w:r w:rsidRPr="007C2F2F">
        <w:t xml:space="preserve"> adequate supporting evidence / examples / information.</w:t>
      </w:r>
      <w:r>
        <w:t xml:space="preserve">  It must give </w:t>
      </w:r>
      <w:r w:rsidRPr="007C2F2F">
        <w:t>a reasonable degree of confidence that the Bidder has the capability,</w:t>
      </w:r>
      <w:r>
        <w:rPr>
          <w:rFonts w:cs="Arial"/>
        </w:rPr>
        <w:t xml:space="preserve"> resource and experience to properly perform the contract.</w:t>
      </w:r>
      <w:bookmarkEnd w:id="101"/>
    </w:p>
    <w:p w14:paraId="2A3999C4" w14:textId="77777777" w:rsidR="00F24FC6" w:rsidRPr="00F24FC6" w:rsidRDefault="00B44E25" w:rsidP="00F24FC6">
      <w:pPr>
        <w:pStyle w:val="MRNumberedHeading2"/>
        <w:rPr>
          <w:i/>
        </w:rPr>
      </w:pPr>
      <w:bookmarkStart w:id="102" w:name="_Ref403484379"/>
      <w:bookmarkStart w:id="103" w:name="_Toc403555172"/>
      <w:r w:rsidRPr="00B44E25">
        <w:t xml:space="preserve">Where a Bidder scores a "fail" for any question, </w:t>
      </w:r>
      <w:r w:rsidR="00C14AA9">
        <w:t>the Authority will treat the Tender as non-compliant and it will not award a mark for the Scored Questions.</w:t>
      </w:r>
      <w:bookmarkEnd w:id="102"/>
      <w:bookmarkEnd w:id="103"/>
      <w:r w:rsidR="00C14AA9">
        <w:t xml:space="preserve"> </w:t>
      </w:r>
      <w:bookmarkStart w:id="104" w:name="_Toc403555173"/>
    </w:p>
    <w:p w14:paraId="0857DFE1" w14:textId="77777777" w:rsidR="00F24FC6" w:rsidRPr="00F24FC6" w:rsidRDefault="007C2F2F" w:rsidP="00F24FC6">
      <w:pPr>
        <w:pStyle w:val="MRNumberedHeading2"/>
        <w:numPr>
          <w:ilvl w:val="0"/>
          <w:numId w:val="0"/>
        </w:numPr>
        <w:ind w:left="720"/>
        <w:rPr>
          <w:b/>
          <w:bCs/>
          <w:i/>
        </w:rPr>
      </w:pPr>
      <w:r w:rsidRPr="00F24FC6">
        <w:rPr>
          <w:b/>
          <w:bCs/>
        </w:rPr>
        <w:t>C</w:t>
      </w:r>
      <w:r w:rsidR="000B1075" w:rsidRPr="00F24FC6">
        <w:rPr>
          <w:b/>
          <w:bCs/>
        </w:rPr>
        <w:t xml:space="preserve">riteria </w:t>
      </w:r>
      <w:r w:rsidRPr="00F24FC6">
        <w:rPr>
          <w:b/>
          <w:bCs/>
        </w:rPr>
        <w:t>– Scored Questions</w:t>
      </w:r>
      <w:bookmarkEnd w:id="104"/>
    </w:p>
    <w:p w14:paraId="620732D2" w14:textId="5DC75F4D" w:rsidR="00C61C7D" w:rsidRPr="00F24FC6" w:rsidRDefault="007E06C0" w:rsidP="00F24FC6">
      <w:pPr>
        <w:pStyle w:val="MRNumberedHeading2"/>
        <w:rPr>
          <w:i/>
        </w:rPr>
      </w:pPr>
      <w:r>
        <w:t>A</w:t>
      </w:r>
      <w:r w:rsidRPr="007E06C0">
        <w:t xml:space="preserve"> minimum pass threshold applies to the evaluation criteria</w:t>
      </w:r>
      <w:r>
        <w:t xml:space="preserve"> of this tender</w:t>
      </w:r>
      <w:r w:rsidRPr="007E06C0">
        <w:t xml:space="preserve">. </w:t>
      </w:r>
      <w:r w:rsidR="00772BE3" w:rsidRPr="00772BE3">
        <w:t xml:space="preserve">should any bid receive a score of </w:t>
      </w:r>
      <w:r w:rsidR="004139FC">
        <w:t>1</w:t>
      </w:r>
      <w:r w:rsidR="00772BE3" w:rsidRPr="00772BE3">
        <w:t xml:space="preserve"> or below this will automatically be rejected, and the Authority will not be evaluate the bid any further</w:t>
      </w:r>
      <w:r w:rsidR="00772BE3">
        <w:t>.</w:t>
      </w:r>
    </w:p>
    <w:p w14:paraId="693A8781" w14:textId="77777777" w:rsidR="00F24FC6" w:rsidRPr="00F24FC6" w:rsidRDefault="00F24FC6" w:rsidP="00F24FC6">
      <w:pPr>
        <w:pStyle w:val="MRNumberedHeading2"/>
        <w:numPr>
          <w:ilvl w:val="0"/>
          <w:numId w:val="0"/>
        </w:numPr>
        <w:ind w:left="720"/>
        <w:rPr>
          <w:i/>
        </w:rPr>
      </w:pPr>
    </w:p>
    <w:tbl>
      <w:tblPr>
        <w:tblStyle w:val="TableGrid"/>
        <w:tblW w:w="8363" w:type="dxa"/>
        <w:tblInd w:w="817" w:type="dxa"/>
        <w:tblLayout w:type="fixed"/>
        <w:tblLook w:val="04A0" w:firstRow="1" w:lastRow="0" w:firstColumn="1" w:lastColumn="0" w:noHBand="0" w:noVBand="1"/>
      </w:tblPr>
      <w:tblGrid>
        <w:gridCol w:w="4961"/>
        <w:gridCol w:w="1701"/>
        <w:gridCol w:w="1701"/>
      </w:tblGrid>
      <w:tr w:rsidR="00022F7E" w14:paraId="19275370" w14:textId="77777777" w:rsidTr="00F24FC6">
        <w:tc>
          <w:tcPr>
            <w:tcW w:w="4961" w:type="dxa"/>
            <w:shd w:val="clear" w:color="auto" w:fill="BFBFBF" w:themeFill="background1" w:themeFillShade="BF"/>
          </w:tcPr>
          <w:p w14:paraId="289F84A4" w14:textId="77777777" w:rsidR="00022F7E" w:rsidRPr="00EF71DD" w:rsidRDefault="00022F7E" w:rsidP="000C5C0E">
            <w:pPr>
              <w:pStyle w:val="Heading2"/>
              <w:numPr>
                <w:ilvl w:val="0"/>
                <w:numId w:val="0"/>
              </w:numPr>
              <w:outlineLvl w:val="1"/>
              <w:rPr>
                <w:b/>
              </w:rPr>
            </w:pPr>
            <w:r w:rsidRPr="00EF71DD">
              <w:rPr>
                <w:b/>
              </w:rPr>
              <w:lastRenderedPageBreak/>
              <w:t>Evaluation criteria</w:t>
            </w:r>
          </w:p>
        </w:tc>
        <w:tc>
          <w:tcPr>
            <w:tcW w:w="1701" w:type="dxa"/>
            <w:shd w:val="clear" w:color="auto" w:fill="BFBFBF" w:themeFill="background1" w:themeFillShade="BF"/>
          </w:tcPr>
          <w:p w14:paraId="0AB049BE" w14:textId="6C5E47C3" w:rsidR="00022F7E" w:rsidRPr="00944407" w:rsidRDefault="00CA36C5" w:rsidP="000C5C0E">
            <w:pPr>
              <w:pStyle w:val="Heading2"/>
              <w:numPr>
                <w:ilvl w:val="0"/>
                <w:numId w:val="0"/>
              </w:numPr>
              <w:outlineLvl w:val="1"/>
              <w:rPr>
                <w:b/>
                <w:iCs/>
              </w:rPr>
            </w:pPr>
            <w:r w:rsidRPr="00944407">
              <w:rPr>
                <w:b/>
                <w:iCs/>
              </w:rPr>
              <w:t>Weighting</w:t>
            </w:r>
            <w:r w:rsidR="00022F7E" w:rsidRPr="00944407">
              <w:rPr>
                <w:b/>
                <w:iCs/>
              </w:rPr>
              <w:t xml:space="preserve"> </w:t>
            </w:r>
          </w:p>
        </w:tc>
        <w:tc>
          <w:tcPr>
            <w:tcW w:w="1701" w:type="dxa"/>
            <w:shd w:val="clear" w:color="auto" w:fill="BFBFBF" w:themeFill="background1" w:themeFillShade="BF"/>
          </w:tcPr>
          <w:p w14:paraId="2809C069" w14:textId="7C5E8361" w:rsidR="00022F7E" w:rsidRPr="00EF71DD" w:rsidRDefault="00CA36C5" w:rsidP="000C5C0E">
            <w:pPr>
              <w:pStyle w:val="Heading2"/>
              <w:numPr>
                <w:ilvl w:val="0"/>
                <w:numId w:val="0"/>
              </w:numPr>
              <w:outlineLvl w:val="1"/>
              <w:rPr>
                <w:b/>
              </w:rPr>
            </w:pPr>
            <w:r>
              <w:rPr>
                <w:b/>
              </w:rPr>
              <w:t xml:space="preserve">Overall </w:t>
            </w:r>
            <w:r w:rsidR="00022F7E" w:rsidRPr="00EF71DD">
              <w:rPr>
                <w:b/>
              </w:rPr>
              <w:t>Weighting</w:t>
            </w:r>
          </w:p>
        </w:tc>
      </w:tr>
      <w:tr w:rsidR="00A949C5" w14:paraId="792D4AE2" w14:textId="77777777" w:rsidTr="00F24FC6">
        <w:tc>
          <w:tcPr>
            <w:tcW w:w="4961" w:type="dxa"/>
          </w:tcPr>
          <w:p w14:paraId="14B8BA9E" w14:textId="77777777" w:rsidR="00A949C5" w:rsidRPr="00CA36C5" w:rsidRDefault="00A949C5" w:rsidP="000C5C0E">
            <w:pPr>
              <w:pStyle w:val="Heading2"/>
              <w:numPr>
                <w:ilvl w:val="0"/>
                <w:numId w:val="0"/>
              </w:numPr>
              <w:outlineLvl w:val="1"/>
              <w:rPr>
                <w:rFonts w:cs="Arial"/>
              </w:rPr>
            </w:pPr>
            <w:r w:rsidRPr="00CA36C5">
              <w:rPr>
                <w:rFonts w:cs="Arial"/>
              </w:rPr>
              <w:t>A clear understanding of the tender requirements and the approach required to deliver this service</w:t>
            </w:r>
            <w:r w:rsidRPr="00CA36C5">
              <w:rPr>
                <w:rFonts w:eastAsia="Arial" w:cs="Arial"/>
              </w:rPr>
              <w:t>.</w:t>
            </w:r>
          </w:p>
        </w:tc>
        <w:tc>
          <w:tcPr>
            <w:tcW w:w="1701" w:type="dxa"/>
          </w:tcPr>
          <w:p w14:paraId="0DDC0B74" w14:textId="77777777" w:rsidR="00A949C5" w:rsidRPr="00CA36C5" w:rsidRDefault="00A949C5" w:rsidP="000C5C0E">
            <w:pPr>
              <w:pStyle w:val="Heading2"/>
              <w:numPr>
                <w:ilvl w:val="0"/>
                <w:numId w:val="0"/>
              </w:numPr>
              <w:outlineLvl w:val="1"/>
              <w:rPr>
                <w:rFonts w:cs="Arial"/>
              </w:rPr>
            </w:pPr>
            <w:r w:rsidRPr="00CA36C5">
              <w:rPr>
                <w:rFonts w:cs="Arial"/>
              </w:rPr>
              <w:t>10%</w:t>
            </w:r>
          </w:p>
        </w:tc>
        <w:tc>
          <w:tcPr>
            <w:tcW w:w="1701" w:type="dxa"/>
            <w:vMerge w:val="restart"/>
          </w:tcPr>
          <w:p w14:paraId="4DB022A1" w14:textId="77777777" w:rsidR="00A949C5" w:rsidRPr="00A675EA" w:rsidRDefault="00A949C5" w:rsidP="000C5C0E">
            <w:pPr>
              <w:pStyle w:val="Heading2"/>
              <w:numPr>
                <w:ilvl w:val="0"/>
                <w:numId w:val="0"/>
              </w:numPr>
              <w:outlineLvl w:val="1"/>
              <w:rPr>
                <w:rFonts w:cs="Arial"/>
              </w:rPr>
            </w:pPr>
            <w:r w:rsidRPr="00A675EA">
              <w:rPr>
                <w:rFonts w:cs="Arial"/>
              </w:rPr>
              <w:t>60%</w:t>
            </w:r>
          </w:p>
        </w:tc>
      </w:tr>
      <w:tr w:rsidR="00A949C5" w14:paraId="657AE2EE" w14:textId="77777777" w:rsidTr="00F24FC6">
        <w:tc>
          <w:tcPr>
            <w:tcW w:w="4961" w:type="dxa"/>
          </w:tcPr>
          <w:p w14:paraId="5903C8A2" w14:textId="775B1713" w:rsidR="00A949C5" w:rsidRPr="00CA36C5" w:rsidRDefault="00A949C5" w:rsidP="00A675EA">
            <w:pPr>
              <w:pStyle w:val="Heading2"/>
              <w:numPr>
                <w:ilvl w:val="0"/>
                <w:numId w:val="0"/>
              </w:numPr>
              <w:outlineLvl w:val="1"/>
              <w:rPr>
                <w:rFonts w:cs="Arial"/>
              </w:rPr>
            </w:pPr>
            <w:r w:rsidRPr="00CA36C5">
              <w:rPr>
                <w:rFonts w:cs="Arial"/>
              </w:rPr>
              <w:t>Demonstrate the expertise of staff that would be working with the GEP</w:t>
            </w:r>
            <w:r w:rsidR="0047527E" w:rsidRPr="00CA36C5">
              <w:rPr>
                <w:rFonts w:cs="Arial"/>
              </w:rPr>
              <w:t>.</w:t>
            </w:r>
          </w:p>
        </w:tc>
        <w:tc>
          <w:tcPr>
            <w:tcW w:w="1701" w:type="dxa"/>
          </w:tcPr>
          <w:p w14:paraId="0134D0DD" w14:textId="33311D97" w:rsidR="00A949C5" w:rsidRPr="00CA36C5" w:rsidRDefault="00A949C5" w:rsidP="000C5C0E">
            <w:pPr>
              <w:pStyle w:val="Heading2"/>
              <w:numPr>
                <w:ilvl w:val="0"/>
                <w:numId w:val="0"/>
              </w:numPr>
              <w:outlineLvl w:val="1"/>
              <w:rPr>
                <w:rFonts w:cs="Arial"/>
              </w:rPr>
            </w:pPr>
            <w:r w:rsidRPr="00CA36C5">
              <w:rPr>
                <w:rFonts w:cs="Arial"/>
              </w:rPr>
              <w:t>15%</w:t>
            </w:r>
          </w:p>
        </w:tc>
        <w:tc>
          <w:tcPr>
            <w:tcW w:w="1701" w:type="dxa"/>
            <w:vMerge/>
          </w:tcPr>
          <w:p w14:paraId="623D51E0" w14:textId="77777777" w:rsidR="00A949C5" w:rsidRPr="00A675EA" w:rsidRDefault="00A949C5" w:rsidP="000C5C0E">
            <w:pPr>
              <w:pStyle w:val="Heading2"/>
              <w:numPr>
                <w:ilvl w:val="0"/>
                <w:numId w:val="0"/>
              </w:numPr>
              <w:outlineLvl w:val="1"/>
              <w:rPr>
                <w:rFonts w:cs="Arial"/>
              </w:rPr>
            </w:pPr>
          </w:p>
        </w:tc>
      </w:tr>
      <w:tr w:rsidR="00A949C5" w14:paraId="5D713163" w14:textId="77777777" w:rsidTr="00F24FC6">
        <w:tc>
          <w:tcPr>
            <w:tcW w:w="4961" w:type="dxa"/>
          </w:tcPr>
          <w:p w14:paraId="3660A0A0" w14:textId="4EE261B3" w:rsidR="00A949C5" w:rsidRPr="00CA36C5" w:rsidRDefault="00A949C5" w:rsidP="000C5C0E">
            <w:pPr>
              <w:pStyle w:val="Heading2"/>
              <w:numPr>
                <w:ilvl w:val="0"/>
                <w:numId w:val="0"/>
              </w:numPr>
              <w:outlineLvl w:val="1"/>
              <w:rPr>
                <w:rFonts w:cs="Arial"/>
              </w:rPr>
            </w:pPr>
            <w:r w:rsidRPr="00CA36C5">
              <w:rPr>
                <w:rFonts w:cs="Arial"/>
              </w:rPr>
              <w:t>Describe the approach to the development and management of projects</w:t>
            </w:r>
            <w:r w:rsidR="008121D2" w:rsidRPr="00CA36C5">
              <w:rPr>
                <w:rFonts w:cs="Arial"/>
              </w:rPr>
              <w:t xml:space="preserve">, </w:t>
            </w:r>
            <w:r w:rsidRPr="00CA36C5">
              <w:rPr>
                <w:rFonts w:cs="Arial"/>
              </w:rPr>
              <w:t>outlining key roles, phases of development, and expected input from and contact with the GEP. This should include approach to dealing with briefs at short notice</w:t>
            </w:r>
            <w:r w:rsidR="00821488" w:rsidRPr="00CA36C5">
              <w:rPr>
                <w:rFonts w:cs="Arial"/>
              </w:rPr>
              <w:t xml:space="preserve"> with a tight deadline</w:t>
            </w:r>
            <w:r w:rsidRPr="00CA36C5">
              <w:rPr>
                <w:rFonts w:cs="Arial"/>
              </w:rPr>
              <w:t xml:space="preserve"> - though we take steps to keep these to a minimum</w:t>
            </w:r>
            <w:r w:rsidR="0047527E" w:rsidRPr="00CA36C5">
              <w:rPr>
                <w:rFonts w:cs="Arial"/>
              </w:rPr>
              <w:t>.</w:t>
            </w:r>
            <w:r w:rsidRPr="00CA36C5">
              <w:rPr>
                <w:rFonts w:cs="Arial"/>
              </w:rPr>
              <w:t xml:space="preserve"> </w:t>
            </w:r>
          </w:p>
        </w:tc>
        <w:tc>
          <w:tcPr>
            <w:tcW w:w="1701" w:type="dxa"/>
          </w:tcPr>
          <w:p w14:paraId="33FEDDA3" w14:textId="15EF522B" w:rsidR="00A949C5" w:rsidRPr="00CA36C5" w:rsidRDefault="009F24E6" w:rsidP="000C5C0E">
            <w:pPr>
              <w:pStyle w:val="Heading2"/>
              <w:numPr>
                <w:ilvl w:val="0"/>
                <w:numId w:val="0"/>
              </w:numPr>
              <w:outlineLvl w:val="1"/>
              <w:rPr>
                <w:rFonts w:cs="Arial"/>
              </w:rPr>
            </w:pPr>
            <w:r w:rsidRPr="00CA36C5">
              <w:rPr>
                <w:rFonts w:cs="Arial"/>
              </w:rPr>
              <w:t>1</w:t>
            </w:r>
            <w:r w:rsidR="00950B9A" w:rsidRPr="00CA36C5">
              <w:rPr>
                <w:rFonts w:cs="Arial"/>
              </w:rPr>
              <w:t>5</w:t>
            </w:r>
            <w:r w:rsidR="00A949C5" w:rsidRPr="00CA36C5">
              <w:rPr>
                <w:rFonts w:cs="Arial"/>
              </w:rPr>
              <w:t>%</w:t>
            </w:r>
          </w:p>
        </w:tc>
        <w:tc>
          <w:tcPr>
            <w:tcW w:w="1701" w:type="dxa"/>
            <w:vMerge/>
          </w:tcPr>
          <w:p w14:paraId="538982F1" w14:textId="77777777" w:rsidR="00A949C5" w:rsidRPr="00A675EA" w:rsidRDefault="00A949C5" w:rsidP="000C5C0E">
            <w:pPr>
              <w:pStyle w:val="Heading2"/>
              <w:numPr>
                <w:ilvl w:val="0"/>
                <w:numId w:val="0"/>
              </w:numPr>
              <w:outlineLvl w:val="1"/>
              <w:rPr>
                <w:rFonts w:cs="Arial"/>
              </w:rPr>
            </w:pPr>
          </w:p>
        </w:tc>
      </w:tr>
      <w:tr w:rsidR="00A949C5" w14:paraId="6D2AE3B1" w14:textId="77777777" w:rsidTr="00F24FC6">
        <w:tc>
          <w:tcPr>
            <w:tcW w:w="4961" w:type="dxa"/>
          </w:tcPr>
          <w:p w14:paraId="2EE7995C" w14:textId="39CD1FDD" w:rsidR="00A949C5" w:rsidRPr="00CA36C5" w:rsidRDefault="00A949C5" w:rsidP="000C5C0E">
            <w:pPr>
              <w:pStyle w:val="Heading2"/>
              <w:numPr>
                <w:ilvl w:val="0"/>
                <w:numId w:val="0"/>
              </w:numPr>
              <w:outlineLvl w:val="1"/>
              <w:rPr>
                <w:rFonts w:cs="Arial"/>
              </w:rPr>
            </w:pPr>
            <w:r w:rsidRPr="00CA36C5">
              <w:rPr>
                <w:rFonts w:cs="Arial"/>
              </w:rPr>
              <w:t xml:space="preserve">Provide </w:t>
            </w:r>
            <w:r w:rsidR="009F24E6" w:rsidRPr="00CA36C5">
              <w:rPr>
                <w:rFonts w:cs="Arial"/>
              </w:rPr>
              <w:t xml:space="preserve">a range of high-quality </w:t>
            </w:r>
            <w:r w:rsidRPr="00CA36C5">
              <w:rPr>
                <w:rFonts w:cs="Arial"/>
              </w:rPr>
              <w:t>examples of a broad portfolio of work</w:t>
            </w:r>
            <w:r w:rsidR="00821488" w:rsidRPr="00CA36C5">
              <w:rPr>
                <w:rFonts w:cs="Arial"/>
              </w:rPr>
              <w:t>,</w:t>
            </w:r>
            <w:r w:rsidRPr="00CA36C5">
              <w:rPr>
                <w:rFonts w:cs="Arial"/>
              </w:rPr>
              <w:t xml:space="preserve"> including print, </w:t>
            </w:r>
            <w:r w:rsidR="00821488" w:rsidRPr="00CA36C5">
              <w:rPr>
                <w:rFonts w:cs="Arial"/>
              </w:rPr>
              <w:t xml:space="preserve">digital, </w:t>
            </w:r>
            <w:r w:rsidR="00640C0B" w:rsidRPr="00CA36C5">
              <w:rPr>
                <w:rFonts w:cs="Arial"/>
              </w:rPr>
              <w:t>infographics,</w:t>
            </w:r>
            <w:r w:rsidRPr="00CA36C5">
              <w:rPr>
                <w:rFonts w:cs="Arial"/>
              </w:rPr>
              <w:t xml:space="preserve"> iconography</w:t>
            </w:r>
            <w:r w:rsidR="00640C0B" w:rsidRPr="00CA36C5">
              <w:rPr>
                <w:rFonts w:cs="Arial"/>
              </w:rPr>
              <w:t xml:space="preserve"> and animation</w:t>
            </w:r>
            <w:r w:rsidR="00EB437C" w:rsidRPr="00CA36C5">
              <w:rPr>
                <w:rFonts w:cs="Arial"/>
              </w:rPr>
              <w:t xml:space="preserve">. </w:t>
            </w:r>
            <w:r w:rsidR="00821488" w:rsidRPr="00CA36C5">
              <w:rPr>
                <w:rFonts w:cs="Arial"/>
              </w:rPr>
              <w:t>Please h</w:t>
            </w:r>
            <w:r w:rsidR="008121D2" w:rsidRPr="00CA36C5">
              <w:rPr>
                <w:rFonts w:cs="Arial"/>
              </w:rPr>
              <w:t>ighlight</w:t>
            </w:r>
            <w:r w:rsidR="00EB437C" w:rsidRPr="00CA36C5">
              <w:rPr>
                <w:rFonts w:cs="Arial"/>
              </w:rPr>
              <w:t xml:space="preserve"> </w:t>
            </w:r>
            <w:r w:rsidR="00FF44A7" w:rsidRPr="00CA36C5">
              <w:rPr>
                <w:rFonts w:cs="Arial"/>
              </w:rPr>
              <w:t xml:space="preserve">examples </w:t>
            </w:r>
            <w:r w:rsidR="004921E6" w:rsidRPr="00CA36C5">
              <w:rPr>
                <w:rFonts w:cs="Arial"/>
              </w:rPr>
              <w:t xml:space="preserve">of </w:t>
            </w:r>
            <w:r w:rsidR="00FF44A7" w:rsidRPr="00CA36C5">
              <w:rPr>
                <w:rFonts w:cs="Arial"/>
              </w:rPr>
              <w:t xml:space="preserve">technical and creative excellence </w:t>
            </w:r>
            <w:r w:rsidR="00E35563" w:rsidRPr="00CA36C5">
              <w:rPr>
                <w:rFonts w:cs="Arial"/>
              </w:rPr>
              <w:t>in</w:t>
            </w:r>
            <w:r w:rsidR="00FF44A7" w:rsidRPr="00CA36C5">
              <w:rPr>
                <w:rFonts w:cs="Arial"/>
              </w:rPr>
              <w:t xml:space="preserve"> conveying </w:t>
            </w:r>
            <w:r w:rsidR="00455C59" w:rsidRPr="00CA36C5">
              <w:rPr>
                <w:rFonts w:cs="Arial"/>
              </w:rPr>
              <w:t xml:space="preserve">sometimes complex </w:t>
            </w:r>
            <w:r w:rsidR="00FF44A7" w:rsidRPr="00CA36C5">
              <w:rPr>
                <w:rFonts w:cs="Arial"/>
              </w:rPr>
              <w:t>information in a</w:t>
            </w:r>
            <w:r w:rsidR="00455C59" w:rsidRPr="00CA36C5">
              <w:rPr>
                <w:rFonts w:cs="Arial"/>
              </w:rPr>
              <w:t>n accessible,</w:t>
            </w:r>
            <w:r w:rsidR="00FF44A7" w:rsidRPr="00CA36C5">
              <w:rPr>
                <w:rFonts w:cs="Arial"/>
              </w:rPr>
              <w:t xml:space="preserve"> stimulating way.</w:t>
            </w:r>
          </w:p>
        </w:tc>
        <w:tc>
          <w:tcPr>
            <w:tcW w:w="1701" w:type="dxa"/>
          </w:tcPr>
          <w:p w14:paraId="05F33352" w14:textId="2FB5B9B7" w:rsidR="00A949C5" w:rsidRPr="00CA36C5" w:rsidRDefault="00950B9A" w:rsidP="000C5C0E">
            <w:pPr>
              <w:pStyle w:val="Heading2"/>
              <w:numPr>
                <w:ilvl w:val="0"/>
                <w:numId w:val="0"/>
              </w:numPr>
              <w:outlineLvl w:val="1"/>
              <w:rPr>
                <w:rFonts w:cs="Arial"/>
              </w:rPr>
            </w:pPr>
            <w:r w:rsidRPr="00CA36C5">
              <w:rPr>
                <w:rFonts w:cs="Arial"/>
              </w:rPr>
              <w:t>20</w:t>
            </w:r>
            <w:r w:rsidR="009F24E6" w:rsidRPr="00CA36C5">
              <w:rPr>
                <w:rFonts w:cs="Arial"/>
              </w:rPr>
              <w:t>%</w:t>
            </w:r>
          </w:p>
        </w:tc>
        <w:tc>
          <w:tcPr>
            <w:tcW w:w="1701" w:type="dxa"/>
            <w:vMerge/>
          </w:tcPr>
          <w:p w14:paraId="5E047C8C" w14:textId="77777777" w:rsidR="00A949C5" w:rsidRPr="00A675EA" w:rsidRDefault="00A949C5" w:rsidP="000C5C0E">
            <w:pPr>
              <w:pStyle w:val="Heading2"/>
              <w:numPr>
                <w:ilvl w:val="0"/>
                <w:numId w:val="0"/>
              </w:numPr>
              <w:outlineLvl w:val="1"/>
              <w:rPr>
                <w:rFonts w:cs="Arial"/>
              </w:rPr>
            </w:pPr>
          </w:p>
        </w:tc>
      </w:tr>
      <w:tr w:rsidR="00984CFF" w14:paraId="331CDD57" w14:textId="77777777" w:rsidTr="00F24FC6">
        <w:tc>
          <w:tcPr>
            <w:tcW w:w="6662" w:type="dxa"/>
            <w:gridSpan w:val="2"/>
          </w:tcPr>
          <w:p w14:paraId="12C72864" w14:textId="6DBF772E" w:rsidR="00984CFF" w:rsidRPr="00CA36C5" w:rsidRDefault="00984CFF" w:rsidP="000C5C0E">
            <w:pPr>
              <w:pStyle w:val="Heading2"/>
              <w:numPr>
                <w:ilvl w:val="0"/>
                <w:numId w:val="0"/>
              </w:numPr>
              <w:outlineLvl w:val="1"/>
              <w:rPr>
                <w:rFonts w:cs="Arial"/>
              </w:rPr>
            </w:pPr>
            <w:r w:rsidRPr="00CA36C5">
              <w:rPr>
                <w:rFonts w:cs="Arial"/>
              </w:rPr>
              <w:t>Demonstrating value for money by providing costs as follows</w:t>
            </w:r>
            <w:r w:rsidR="001D4E87" w:rsidRPr="00CA36C5">
              <w:rPr>
                <w:rFonts w:cs="Arial"/>
              </w:rPr>
              <w:t xml:space="preserve"> (</w:t>
            </w:r>
            <w:r w:rsidR="004C5377" w:rsidRPr="00CA36C5">
              <w:rPr>
                <w:rFonts w:cs="Arial"/>
              </w:rPr>
              <w:t xml:space="preserve">each </w:t>
            </w:r>
            <w:r w:rsidR="0009541E" w:rsidRPr="00CA36C5">
              <w:rPr>
                <w:rFonts w:cs="Arial"/>
              </w:rPr>
              <w:t>would</w:t>
            </w:r>
            <w:r w:rsidR="001D4E87" w:rsidRPr="00CA36C5">
              <w:rPr>
                <w:rFonts w:cs="Arial"/>
              </w:rPr>
              <w:t xml:space="preserve"> incorporate two sets of amends)</w:t>
            </w:r>
            <w:r w:rsidRPr="00CA36C5">
              <w:rPr>
                <w:rFonts w:cs="Arial"/>
              </w:rPr>
              <w:t>:</w:t>
            </w:r>
          </w:p>
        </w:tc>
        <w:tc>
          <w:tcPr>
            <w:tcW w:w="1701" w:type="dxa"/>
            <w:vMerge w:val="restart"/>
          </w:tcPr>
          <w:p w14:paraId="7D65528D" w14:textId="77777777" w:rsidR="00984CFF" w:rsidRPr="00A675EA" w:rsidRDefault="00984CFF" w:rsidP="000C5C0E">
            <w:pPr>
              <w:pStyle w:val="Heading2"/>
              <w:numPr>
                <w:ilvl w:val="0"/>
                <w:numId w:val="0"/>
              </w:numPr>
              <w:outlineLvl w:val="1"/>
              <w:rPr>
                <w:rFonts w:cs="Arial"/>
              </w:rPr>
            </w:pPr>
            <w:r w:rsidRPr="00A675EA">
              <w:rPr>
                <w:rFonts w:cs="Arial"/>
              </w:rPr>
              <w:t>40%</w:t>
            </w:r>
          </w:p>
        </w:tc>
      </w:tr>
      <w:tr w:rsidR="00984CFF" w14:paraId="1CC13DB6" w14:textId="77777777" w:rsidTr="00F24FC6">
        <w:tc>
          <w:tcPr>
            <w:tcW w:w="4961" w:type="dxa"/>
          </w:tcPr>
          <w:p w14:paraId="06FFD234" w14:textId="08F531E9" w:rsidR="00984CFF" w:rsidRPr="00CA36C5" w:rsidRDefault="00984CFF" w:rsidP="005E3343">
            <w:pPr>
              <w:pStyle w:val="Heading2"/>
              <w:numPr>
                <w:ilvl w:val="0"/>
                <w:numId w:val="24"/>
              </w:numPr>
              <w:outlineLvl w:val="1"/>
              <w:rPr>
                <w:rFonts w:cs="Arial"/>
              </w:rPr>
            </w:pPr>
            <w:r w:rsidRPr="00CA36C5">
              <w:rPr>
                <w:rFonts w:cs="Arial"/>
              </w:rPr>
              <w:t>Creation of a double-sided A6 promotional postcard design (text + images provided)</w:t>
            </w:r>
          </w:p>
        </w:tc>
        <w:tc>
          <w:tcPr>
            <w:tcW w:w="1701" w:type="dxa"/>
          </w:tcPr>
          <w:p w14:paraId="1F2FC4EC" w14:textId="77777777" w:rsidR="00984CFF" w:rsidRPr="00CA36C5" w:rsidRDefault="00984CFF" w:rsidP="00E24CA7">
            <w:pPr>
              <w:pStyle w:val="Heading2"/>
              <w:numPr>
                <w:ilvl w:val="0"/>
                <w:numId w:val="0"/>
              </w:numPr>
              <w:outlineLvl w:val="1"/>
              <w:rPr>
                <w:rFonts w:cs="Arial"/>
              </w:rPr>
            </w:pPr>
            <w:r w:rsidRPr="00CA36C5">
              <w:rPr>
                <w:rFonts w:cs="Arial"/>
              </w:rPr>
              <w:t>5%</w:t>
            </w:r>
          </w:p>
        </w:tc>
        <w:tc>
          <w:tcPr>
            <w:tcW w:w="1701" w:type="dxa"/>
            <w:vMerge/>
          </w:tcPr>
          <w:p w14:paraId="06A255C6" w14:textId="77777777" w:rsidR="00984CFF" w:rsidRPr="00A675EA" w:rsidRDefault="00984CFF" w:rsidP="00E24CA7">
            <w:pPr>
              <w:pStyle w:val="Heading2"/>
              <w:numPr>
                <w:ilvl w:val="0"/>
                <w:numId w:val="0"/>
              </w:numPr>
              <w:outlineLvl w:val="1"/>
              <w:rPr>
                <w:rFonts w:cs="Arial"/>
              </w:rPr>
            </w:pPr>
          </w:p>
        </w:tc>
      </w:tr>
      <w:tr w:rsidR="00984CFF" w14:paraId="6D657251" w14:textId="77777777" w:rsidTr="00F24FC6">
        <w:tc>
          <w:tcPr>
            <w:tcW w:w="4961" w:type="dxa"/>
          </w:tcPr>
          <w:p w14:paraId="3C692C1C" w14:textId="0EBEF244" w:rsidR="00984CFF" w:rsidRPr="00CA36C5" w:rsidRDefault="00984CFF" w:rsidP="005E3343">
            <w:pPr>
              <w:pStyle w:val="Heading2"/>
              <w:numPr>
                <w:ilvl w:val="0"/>
                <w:numId w:val="24"/>
              </w:numPr>
              <w:outlineLvl w:val="1"/>
              <w:rPr>
                <w:rFonts w:cs="Arial"/>
              </w:rPr>
            </w:pPr>
            <w:r w:rsidRPr="00CA36C5">
              <w:rPr>
                <w:rFonts w:cs="Arial"/>
              </w:rPr>
              <w:t>Creation of a 4-page A5 leaflet design including simple iconography (text + image provided)</w:t>
            </w:r>
          </w:p>
        </w:tc>
        <w:tc>
          <w:tcPr>
            <w:tcW w:w="1701" w:type="dxa"/>
          </w:tcPr>
          <w:p w14:paraId="29CE0278" w14:textId="77777777" w:rsidR="00984CFF" w:rsidRPr="00CA36C5" w:rsidRDefault="00984CFF" w:rsidP="00E24CA7">
            <w:pPr>
              <w:pStyle w:val="Heading2"/>
              <w:numPr>
                <w:ilvl w:val="0"/>
                <w:numId w:val="0"/>
              </w:numPr>
              <w:outlineLvl w:val="1"/>
              <w:rPr>
                <w:rFonts w:cs="Arial"/>
              </w:rPr>
            </w:pPr>
            <w:r w:rsidRPr="00CA36C5">
              <w:rPr>
                <w:rFonts w:cs="Arial"/>
              </w:rPr>
              <w:t>5%</w:t>
            </w:r>
          </w:p>
        </w:tc>
        <w:tc>
          <w:tcPr>
            <w:tcW w:w="1701" w:type="dxa"/>
            <w:vMerge/>
          </w:tcPr>
          <w:p w14:paraId="5F417655" w14:textId="77777777" w:rsidR="00984CFF" w:rsidRPr="00A675EA" w:rsidRDefault="00984CFF" w:rsidP="00E24CA7">
            <w:pPr>
              <w:pStyle w:val="Heading2"/>
              <w:numPr>
                <w:ilvl w:val="0"/>
                <w:numId w:val="0"/>
              </w:numPr>
              <w:outlineLvl w:val="1"/>
              <w:rPr>
                <w:rFonts w:cs="Arial"/>
              </w:rPr>
            </w:pPr>
          </w:p>
        </w:tc>
      </w:tr>
      <w:tr w:rsidR="00984CFF" w14:paraId="7D9088E3" w14:textId="77777777" w:rsidTr="00F24FC6">
        <w:tc>
          <w:tcPr>
            <w:tcW w:w="4961" w:type="dxa"/>
          </w:tcPr>
          <w:p w14:paraId="67DF8CA7" w14:textId="30553694" w:rsidR="00144491" w:rsidRPr="00CA36C5" w:rsidRDefault="00144491" w:rsidP="005E3343">
            <w:pPr>
              <w:pStyle w:val="Heading2"/>
              <w:numPr>
                <w:ilvl w:val="0"/>
                <w:numId w:val="24"/>
              </w:numPr>
              <w:outlineLvl w:val="1"/>
              <w:rPr>
                <w:rFonts w:cs="Arial"/>
              </w:rPr>
            </w:pPr>
            <w:r w:rsidRPr="00CA36C5">
              <w:rPr>
                <w:rFonts w:cs="Arial"/>
              </w:rPr>
              <w:t>Creation of an A0 scientific poster</w:t>
            </w:r>
            <w:r w:rsidR="00E003C9" w:rsidRPr="00CA36C5">
              <w:rPr>
                <w:rFonts w:cs="Arial"/>
              </w:rPr>
              <w:t xml:space="preserve"> design</w:t>
            </w:r>
            <w:r w:rsidRPr="00CA36C5">
              <w:rPr>
                <w:rFonts w:cs="Arial"/>
              </w:rPr>
              <w:t xml:space="preserve"> including simple iconography (text provided)</w:t>
            </w:r>
          </w:p>
        </w:tc>
        <w:tc>
          <w:tcPr>
            <w:tcW w:w="1701" w:type="dxa"/>
          </w:tcPr>
          <w:p w14:paraId="0623CCFF" w14:textId="77777777" w:rsidR="00984CFF" w:rsidRPr="00CA36C5" w:rsidRDefault="00984CFF" w:rsidP="009F4E1A">
            <w:pPr>
              <w:pStyle w:val="Heading2"/>
              <w:numPr>
                <w:ilvl w:val="0"/>
                <w:numId w:val="0"/>
              </w:numPr>
              <w:outlineLvl w:val="1"/>
              <w:rPr>
                <w:rFonts w:cs="Arial"/>
              </w:rPr>
            </w:pPr>
            <w:r w:rsidRPr="00CA36C5">
              <w:rPr>
                <w:rFonts w:cs="Arial"/>
              </w:rPr>
              <w:t>5%</w:t>
            </w:r>
          </w:p>
        </w:tc>
        <w:tc>
          <w:tcPr>
            <w:tcW w:w="1701" w:type="dxa"/>
            <w:vMerge/>
          </w:tcPr>
          <w:p w14:paraId="267BFC73" w14:textId="77777777" w:rsidR="00984CFF" w:rsidRPr="00A675EA" w:rsidRDefault="00984CFF" w:rsidP="009F4E1A">
            <w:pPr>
              <w:pStyle w:val="Heading2"/>
              <w:numPr>
                <w:ilvl w:val="0"/>
                <w:numId w:val="0"/>
              </w:numPr>
              <w:outlineLvl w:val="1"/>
              <w:rPr>
                <w:rFonts w:cs="Arial"/>
              </w:rPr>
            </w:pPr>
          </w:p>
        </w:tc>
      </w:tr>
      <w:tr w:rsidR="00984CFF" w14:paraId="1BD932ED" w14:textId="77777777" w:rsidTr="00F24FC6">
        <w:tc>
          <w:tcPr>
            <w:tcW w:w="4961" w:type="dxa"/>
          </w:tcPr>
          <w:p w14:paraId="2CE066C0" w14:textId="2F24E52B" w:rsidR="00984CFF" w:rsidRPr="00CA36C5" w:rsidRDefault="00144491" w:rsidP="005E3343">
            <w:pPr>
              <w:pStyle w:val="Heading2"/>
              <w:numPr>
                <w:ilvl w:val="0"/>
                <w:numId w:val="24"/>
              </w:numPr>
              <w:outlineLvl w:val="1"/>
              <w:rPr>
                <w:rFonts w:cs="Arial"/>
              </w:rPr>
            </w:pPr>
            <w:r w:rsidRPr="00CA36C5">
              <w:rPr>
                <w:rFonts w:cs="Arial"/>
              </w:rPr>
              <w:t>Creation of a</w:t>
            </w:r>
            <w:r w:rsidR="00E0023B" w:rsidRPr="00CA36C5">
              <w:rPr>
                <w:rFonts w:cs="Arial"/>
              </w:rPr>
              <w:t>n</w:t>
            </w:r>
            <w:r w:rsidRPr="00CA36C5">
              <w:rPr>
                <w:rFonts w:cs="Arial"/>
              </w:rPr>
              <w:t xml:space="preserve"> 800x2000mm pull-up banner design (text + image provided)</w:t>
            </w:r>
          </w:p>
        </w:tc>
        <w:tc>
          <w:tcPr>
            <w:tcW w:w="1701" w:type="dxa"/>
          </w:tcPr>
          <w:p w14:paraId="37D29803" w14:textId="77777777" w:rsidR="00984CFF" w:rsidRPr="00CA36C5" w:rsidRDefault="00984CFF" w:rsidP="009F4E1A">
            <w:pPr>
              <w:pStyle w:val="Heading2"/>
              <w:numPr>
                <w:ilvl w:val="0"/>
                <w:numId w:val="0"/>
              </w:numPr>
              <w:outlineLvl w:val="1"/>
              <w:rPr>
                <w:rFonts w:cs="Arial"/>
              </w:rPr>
            </w:pPr>
            <w:r w:rsidRPr="00CA36C5">
              <w:rPr>
                <w:rFonts w:cs="Arial"/>
              </w:rPr>
              <w:t>5%</w:t>
            </w:r>
          </w:p>
        </w:tc>
        <w:tc>
          <w:tcPr>
            <w:tcW w:w="1701" w:type="dxa"/>
            <w:vMerge/>
          </w:tcPr>
          <w:p w14:paraId="251E70C6" w14:textId="77777777" w:rsidR="00984CFF" w:rsidRPr="00A675EA" w:rsidRDefault="00984CFF" w:rsidP="009F4E1A">
            <w:pPr>
              <w:pStyle w:val="Heading2"/>
              <w:numPr>
                <w:ilvl w:val="0"/>
                <w:numId w:val="0"/>
              </w:numPr>
              <w:outlineLvl w:val="1"/>
              <w:rPr>
                <w:rFonts w:cs="Arial"/>
              </w:rPr>
            </w:pPr>
          </w:p>
        </w:tc>
      </w:tr>
      <w:tr w:rsidR="00984CFF" w14:paraId="588E5F61" w14:textId="77777777" w:rsidTr="00F24FC6">
        <w:tc>
          <w:tcPr>
            <w:tcW w:w="4961" w:type="dxa"/>
          </w:tcPr>
          <w:p w14:paraId="76835D26" w14:textId="5DFE24AA" w:rsidR="00984CFF" w:rsidRPr="00CA36C5" w:rsidRDefault="00984CFF" w:rsidP="00012B5C">
            <w:pPr>
              <w:pStyle w:val="Heading2"/>
              <w:numPr>
                <w:ilvl w:val="0"/>
                <w:numId w:val="24"/>
              </w:numPr>
              <w:outlineLvl w:val="1"/>
              <w:rPr>
                <w:rFonts w:cs="Arial"/>
              </w:rPr>
            </w:pPr>
            <w:r w:rsidRPr="00CA36C5">
              <w:rPr>
                <w:rFonts w:cs="Arial"/>
              </w:rPr>
              <w:t xml:space="preserve">Creation of a series of </w:t>
            </w:r>
            <w:r w:rsidR="007C0910" w:rsidRPr="00CA36C5">
              <w:rPr>
                <w:rFonts w:cs="Arial"/>
              </w:rPr>
              <w:t>x</w:t>
            </w:r>
            <w:r w:rsidRPr="00CA36C5">
              <w:rPr>
                <w:rFonts w:cs="Arial"/>
              </w:rPr>
              <w:t>5 social media graphics, including conceptual work / creation of style (text provided)</w:t>
            </w:r>
          </w:p>
        </w:tc>
        <w:tc>
          <w:tcPr>
            <w:tcW w:w="1701" w:type="dxa"/>
          </w:tcPr>
          <w:p w14:paraId="28997DB5" w14:textId="77777777" w:rsidR="00984CFF" w:rsidRPr="00CA36C5" w:rsidRDefault="00984CFF" w:rsidP="009F4E1A">
            <w:pPr>
              <w:pStyle w:val="Heading2"/>
              <w:numPr>
                <w:ilvl w:val="0"/>
                <w:numId w:val="0"/>
              </w:numPr>
              <w:outlineLvl w:val="1"/>
              <w:rPr>
                <w:rFonts w:cs="Arial"/>
              </w:rPr>
            </w:pPr>
            <w:r w:rsidRPr="00CA36C5">
              <w:rPr>
                <w:rFonts w:cs="Arial"/>
              </w:rPr>
              <w:t>5%</w:t>
            </w:r>
          </w:p>
        </w:tc>
        <w:tc>
          <w:tcPr>
            <w:tcW w:w="1701" w:type="dxa"/>
            <w:vMerge/>
          </w:tcPr>
          <w:p w14:paraId="237848D2" w14:textId="77777777" w:rsidR="00984CFF" w:rsidRPr="00A675EA" w:rsidRDefault="00984CFF" w:rsidP="009F4E1A">
            <w:pPr>
              <w:pStyle w:val="Heading2"/>
              <w:numPr>
                <w:ilvl w:val="0"/>
                <w:numId w:val="0"/>
              </w:numPr>
              <w:outlineLvl w:val="1"/>
              <w:rPr>
                <w:rFonts w:cs="Arial"/>
              </w:rPr>
            </w:pPr>
          </w:p>
        </w:tc>
      </w:tr>
      <w:tr w:rsidR="00984CFF" w14:paraId="257E3187" w14:textId="77777777" w:rsidTr="00F24FC6">
        <w:tc>
          <w:tcPr>
            <w:tcW w:w="4961" w:type="dxa"/>
          </w:tcPr>
          <w:p w14:paraId="1AB05017" w14:textId="79D18484" w:rsidR="00984CFF" w:rsidRPr="00CA36C5" w:rsidRDefault="008C5198" w:rsidP="00012B5C">
            <w:pPr>
              <w:pStyle w:val="Heading2"/>
              <w:numPr>
                <w:ilvl w:val="0"/>
                <w:numId w:val="24"/>
              </w:numPr>
              <w:outlineLvl w:val="1"/>
              <w:rPr>
                <w:rFonts w:cs="Arial"/>
              </w:rPr>
            </w:pPr>
            <w:r w:rsidRPr="00CA36C5">
              <w:rPr>
                <w:rFonts w:cs="Arial"/>
              </w:rPr>
              <w:t xml:space="preserve">Creation </w:t>
            </w:r>
            <w:r w:rsidR="008044C0" w:rsidRPr="00CA36C5">
              <w:rPr>
                <w:rFonts w:cs="Arial"/>
              </w:rPr>
              <w:t xml:space="preserve">of a series of </w:t>
            </w:r>
            <w:r w:rsidR="007C0910" w:rsidRPr="00CA36C5">
              <w:rPr>
                <w:rFonts w:cs="Arial"/>
              </w:rPr>
              <w:t>x</w:t>
            </w:r>
            <w:r w:rsidR="008044C0" w:rsidRPr="00CA36C5">
              <w:rPr>
                <w:rFonts w:cs="Arial"/>
              </w:rPr>
              <w:t xml:space="preserve">8 1-page A4 factsheets (text and images provided) </w:t>
            </w:r>
          </w:p>
        </w:tc>
        <w:tc>
          <w:tcPr>
            <w:tcW w:w="1701" w:type="dxa"/>
          </w:tcPr>
          <w:p w14:paraId="78FD4D95" w14:textId="77777777" w:rsidR="00984CFF" w:rsidRPr="00CA36C5" w:rsidRDefault="00984CFF" w:rsidP="00E24CA7">
            <w:pPr>
              <w:pStyle w:val="Heading2"/>
              <w:numPr>
                <w:ilvl w:val="0"/>
                <w:numId w:val="0"/>
              </w:numPr>
              <w:outlineLvl w:val="1"/>
              <w:rPr>
                <w:rFonts w:cs="Arial"/>
              </w:rPr>
            </w:pPr>
            <w:r w:rsidRPr="00CA36C5">
              <w:rPr>
                <w:rFonts w:cs="Arial"/>
              </w:rPr>
              <w:t>5%</w:t>
            </w:r>
          </w:p>
        </w:tc>
        <w:tc>
          <w:tcPr>
            <w:tcW w:w="1701" w:type="dxa"/>
            <w:vMerge/>
          </w:tcPr>
          <w:p w14:paraId="2896350E" w14:textId="77777777" w:rsidR="00984CFF" w:rsidRPr="00A675EA" w:rsidRDefault="00984CFF" w:rsidP="00E24CA7">
            <w:pPr>
              <w:pStyle w:val="Heading2"/>
              <w:numPr>
                <w:ilvl w:val="0"/>
                <w:numId w:val="0"/>
              </w:numPr>
              <w:outlineLvl w:val="1"/>
              <w:rPr>
                <w:rFonts w:cs="Arial"/>
              </w:rPr>
            </w:pPr>
          </w:p>
        </w:tc>
      </w:tr>
      <w:tr w:rsidR="008C5198" w14:paraId="5B49023F" w14:textId="77777777" w:rsidTr="00F24FC6">
        <w:tc>
          <w:tcPr>
            <w:tcW w:w="4961" w:type="dxa"/>
          </w:tcPr>
          <w:p w14:paraId="753EE0E8" w14:textId="122C4D29" w:rsidR="008C5198" w:rsidRPr="00CA36C5" w:rsidRDefault="008C5198" w:rsidP="00012B5C">
            <w:pPr>
              <w:pStyle w:val="Heading2"/>
              <w:numPr>
                <w:ilvl w:val="0"/>
                <w:numId w:val="24"/>
              </w:numPr>
              <w:outlineLvl w:val="1"/>
              <w:rPr>
                <w:rFonts w:cs="Arial"/>
              </w:rPr>
            </w:pPr>
            <w:r w:rsidRPr="00CA36C5">
              <w:rPr>
                <w:rFonts w:cs="Arial"/>
              </w:rPr>
              <w:t xml:space="preserve">Production of a 1-page A4 data dashboard </w:t>
            </w:r>
            <w:r w:rsidR="00B43E6E" w:rsidRPr="00CA36C5">
              <w:rPr>
                <w:rFonts w:cs="Arial"/>
              </w:rPr>
              <w:t>(</w:t>
            </w:r>
            <w:r w:rsidR="001673BF" w:rsidRPr="00CA36C5">
              <w:rPr>
                <w:rFonts w:cs="Arial"/>
              </w:rPr>
              <w:t xml:space="preserve">working </w:t>
            </w:r>
            <w:r w:rsidRPr="00CA36C5">
              <w:rPr>
                <w:rFonts w:cs="Arial"/>
              </w:rPr>
              <w:t xml:space="preserve">to a </w:t>
            </w:r>
            <w:hyperlink r:id="rId29" w:history="1">
              <w:r w:rsidRPr="00CA36C5">
                <w:rPr>
                  <w:rStyle w:val="Hyperlink"/>
                  <w:rFonts w:cs="Arial"/>
                </w:rPr>
                <w:t>pre-existing design</w:t>
              </w:r>
            </w:hyperlink>
            <w:r w:rsidR="00B43E6E" w:rsidRPr="00CA36C5">
              <w:rPr>
                <w:rFonts w:cs="Arial"/>
              </w:rPr>
              <w:t>)</w:t>
            </w:r>
            <w:r w:rsidRPr="00CA36C5">
              <w:rPr>
                <w:rFonts w:cs="Arial"/>
              </w:rPr>
              <w:t>, featuring pie charts</w:t>
            </w:r>
            <w:r w:rsidR="00A200D1" w:rsidRPr="00CA36C5">
              <w:rPr>
                <w:rFonts w:cs="Arial"/>
              </w:rPr>
              <w:t xml:space="preserve"> </w:t>
            </w:r>
            <w:r w:rsidRPr="00CA36C5">
              <w:rPr>
                <w:rFonts w:cs="Arial"/>
              </w:rPr>
              <w:t xml:space="preserve">and accompanying </w:t>
            </w:r>
            <w:r w:rsidR="00A200D1" w:rsidRPr="00CA36C5">
              <w:rPr>
                <w:rFonts w:cs="Arial"/>
              </w:rPr>
              <w:t xml:space="preserve">data and </w:t>
            </w:r>
            <w:r w:rsidRPr="00CA36C5">
              <w:rPr>
                <w:rFonts w:cs="Arial"/>
              </w:rPr>
              <w:t>information (text + data provided)</w:t>
            </w:r>
          </w:p>
        </w:tc>
        <w:tc>
          <w:tcPr>
            <w:tcW w:w="1701" w:type="dxa"/>
          </w:tcPr>
          <w:p w14:paraId="08470E75" w14:textId="77777777" w:rsidR="008C5198" w:rsidRPr="00CA36C5" w:rsidRDefault="008C5198" w:rsidP="008C5198">
            <w:pPr>
              <w:pStyle w:val="Heading2"/>
              <w:numPr>
                <w:ilvl w:val="0"/>
                <w:numId w:val="0"/>
              </w:numPr>
              <w:outlineLvl w:val="1"/>
              <w:rPr>
                <w:rFonts w:cs="Arial"/>
              </w:rPr>
            </w:pPr>
            <w:r w:rsidRPr="00CA36C5">
              <w:rPr>
                <w:rFonts w:cs="Arial"/>
              </w:rPr>
              <w:t>5%</w:t>
            </w:r>
          </w:p>
        </w:tc>
        <w:tc>
          <w:tcPr>
            <w:tcW w:w="1701" w:type="dxa"/>
            <w:vMerge/>
          </w:tcPr>
          <w:p w14:paraId="290260D1" w14:textId="77777777" w:rsidR="008C5198" w:rsidRPr="00A675EA" w:rsidRDefault="008C5198" w:rsidP="008C5198">
            <w:pPr>
              <w:pStyle w:val="Heading2"/>
              <w:numPr>
                <w:ilvl w:val="0"/>
                <w:numId w:val="0"/>
              </w:numPr>
              <w:outlineLvl w:val="1"/>
              <w:rPr>
                <w:rFonts w:cs="Arial"/>
              </w:rPr>
            </w:pPr>
          </w:p>
        </w:tc>
      </w:tr>
      <w:tr w:rsidR="008C5198" w14:paraId="5DC4E938" w14:textId="77777777" w:rsidTr="00F24FC6">
        <w:tc>
          <w:tcPr>
            <w:tcW w:w="4961" w:type="dxa"/>
          </w:tcPr>
          <w:p w14:paraId="180E8A89" w14:textId="59CA46A0" w:rsidR="008C5198" w:rsidRPr="00CA36C5" w:rsidRDefault="008C5198" w:rsidP="00012B5C">
            <w:pPr>
              <w:pStyle w:val="Heading2"/>
              <w:numPr>
                <w:ilvl w:val="0"/>
                <w:numId w:val="24"/>
              </w:numPr>
              <w:outlineLvl w:val="1"/>
              <w:rPr>
                <w:rFonts w:cs="Arial"/>
              </w:rPr>
            </w:pPr>
            <w:r w:rsidRPr="00CA36C5">
              <w:rPr>
                <w:rFonts w:cs="Arial"/>
              </w:rPr>
              <w:t xml:space="preserve">Production of a standalone two-minute 2D animation with </w:t>
            </w:r>
            <w:r w:rsidR="00003697" w:rsidRPr="00CA36C5">
              <w:rPr>
                <w:rFonts w:cs="Arial"/>
              </w:rPr>
              <w:t xml:space="preserve">professional </w:t>
            </w:r>
            <w:r w:rsidRPr="00CA36C5">
              <w:rPr>
                <w:rFonts w:cs="Arial"/>
              </w:rPr>
              <w:t xml:space="preserve">voiceover, like </w:t>
            </w:r>
            <w:hyperlink r:id="rId30" w:history="1">
              <w:r w:rsidRPr="00CA36C5">
                <w:rPr>
                  <w:rStyle w:val="Hyperlink"/>
                  <w:rFonts w:cs="Arial"/>
                </w:rPr>
                <w:t>this one</w:t>
              </w:r>
            </w:hyperlink>
            <w:r w:rsidRPr="00CA36C5">
              <w:rPr>
                <w:rFonts w:cs="Arial"/>
              </w:rPr>
              <w:t xml:space="preserve"> (storyboard and script provided) </w:t>
            </w:r>
          </w:p>
        </w:tc>
        <w:tc>
          <w:tcPr>
            <w:tcW w:w="1701" w:type="dxa"/>
          </w:tcPr>
          <w:p w14:paraId="00E5663E" w14:textId="2D9F9F7C" w:rsidR="008C5198" w:rsidRPr="00CA36C5" w:rsidRDefault="008C5198" w:rsidP="008C5198">
            <w:pPr>
              <w:pStyle w:val="Heading2"/>
              <w:numPr>
                <w:ilvl w:val="0"/>
                <w:numId w:val="0"/>
              </w:numPr>
              <w:outlineLvl w:val="1"/>
              <w:rPr>
                <w:rFonts w:cs="Arial"/>
              </w:rPr>
            </w:pPr>
            <w:r w:rsidRPr="00CA36C5">
              <w:rPr>
                <w:rFonts w:cs="Arial"/>
              </w:rPr>
              <w:t>5%</w:t>
            </w:r>
          </w:p>
        </w:tc>
        <w:tc>
          <w:tcPr>
            <w:tcW w:w="1701" w:type="dxa"/>
            <w:vMerge/>
          </w:tcPr>
          <w:p w14:paraId="7B8FFC09" w14:textId="77777777" w:rsidR="008C5198" w:rsidRPr="00A675EA" w:rsidRDefault="008C5198" w:rsidP="008C5198">
            <w:pPr>
              <w:pStyle w:val="Heading2"/>
              <w:numPr>
                <w:ilvl w:val="0"/>
                <w:numId w:val="0"/>
              </w:numPr>
              <w:outlineLvl w:val="1"/>
              <w:rPr>
                <w:rFonts w:cs="Arial"/>
              </w:rPr>
            </w:pPr>
          </w:p>
        </w:tc>
      </w:tr>
      <w:tr w:rsidR="008C5198" w14:paraId="7EFD4441" w14:textId="77777777" w:rsidTr="00F24FC6">
        <w:tc>
          <w:tcPr>
            <w:tcW w:w="4961" w:type="dxa"/>
          </w:tcPr>
          <w:p w14:paraId="75641EA8" w14:textId="77777777" w:rsidR="008C5198" w:rsidRPr="00A675EA" w:rsidRDefault="008C5198" w:rsidP="008C5198">
            <w:pPr>
              <w:pStyle w:val="Heading2"/>
              <w:numPr>
                <w:ilvl w:val="0"/>
                <w:numId w:val="0"/>
              </w:numPr>
              <w:outlineLvl w:val="1"/>
              <w:rPr>
                <w:rFonts w:cs="Arial"/>
                <w:b/>
              </w:rPr>
            </w:pPr>
            <w:r w:rsidRPr="00A675EA">
              <w:rPr>
                <w:rFonts w:cs="Arial"/>
                <w:b/>
              </w:rPr>
              <w:t>Total</w:t>
            </w:r>
          </w:p>
        </w:tc>
        <w:tc>
          <w:tcPr>
            <w:tcW w:w="1701" w:type="dxa"/>
          </w:tcPr>
          <w:p w14:paraId="1CF8FAE2" w14:textId="77777777" w:rsidR="008C5198" w:rsidRPr="00A675EA" w:rsidRDefault="008C5198" w:rsidP="008C5198">
            <w:pPr>
              <w:pStyle w:val="Heading2"/>
              <w:numPr>
                <w:ilvl w:val="0"/>
                <w:numId w:val="0"/>
              </w:numPr>
              <w:outlineLvl w:val="1"/>
              <w:rPr>
                <w:rFonts w:cs="Arial"/>
              </w:rPr>
            </w:pPr>
            <w:r w:rsidRPr="00A675EA">
              <w:rPr>
                <w:rFonts w:cs="Arial"/>
              </w:rPr>
              <w:t>100%</w:t>
            </w:r>
          </w:p>
        </w:tc>
        <w:tc>
          <w:tcPr>
            <w:tcW w:w="1701" w:type="dxa"/>
          </w:tcPr>
          <w:p w14:paraId="16BD80A7" w14:textId="77777777" w:rsidR="008C5198" w:rsidRPr="00A675EA" w:rsidRDefault="008C5198" w:rsidP="008C5198">
            <w:pPr>
              <w:pStyle w:val="Heading2"/>
              <w:numPr>
                <w:ilvl w:val="0"/>
                <w:numId w:val="0"/>
              </w:numPr>
              <w:outlineLvl w:val="1"/>
              <w:rPr>
                <w:rFonts w:cs="Arial"/>
              </w:rPr>
            </w:pPr>
            <w:r w:rsidRPr="00A675EA">
              <w:rPr>
                <w:rFonts w:cs="Arial"/>
              </w:rPr>
              <w:t>100%</w:t>
            </w:r>
          </w:p>
        </w:tc>
      </w:tr>
    </w:tbl>
    <w:p w14:paraId="5AE48A43" w14:textId="77777777" w:rsidR="00362AE0" w:rsidRDefault="00362AE0" w:rsidP="0025200C">
      <w:pPr>
        <w:pStyle w:val="Heading2"/>
        <w:numPr>
          <w:ilvl w:val="0"/>
          <w:numId w:val="0"/>
        </w:numPr>
        <w:ind w:firstLine="850"/>
        <w:rPr>
          <w:b/>
        </w:rPr>
      </w:pPr>
    </w:p>
    <w:p w14:paraId="5BDE66E2" w14:textId="77777777" w:rsidR="007C2F2F" w:rsidRPr="007C2F2F" w:rsidRDefault="007C2F2F" w:rsidP="00DD4504">
      <w:pPr>
        <w:pStyle w:val="Heading1"/>
        <w:spacing w:before="240" w:after="0"/>
        <w:ind w:left="709"/>
      </w:pPr>
      <w:bookmarkStart w:id="105" w:name="_Toc403555175"/>
      <w:r w:rsidRPr="007C2F2F">
        <w:t>Criteria – Scored Questions</w:t>
      </w:r>
      <w:r>
        <w:t>:  pricing evaluation</w:t>
      </w:r>
      <w:bookmarkEnd w:id="105"/>
    </w:p>
    <w:p w14:paraId="1F97D971" w14:textId="77777777" w:rsidR="00176227" w:rsidRPr="00F3256B" w:rsidRDefault="00176227" w:rsidP="00176227">
      <w:pPr>
        <w:pStyle w:val="MRNumberedHeading2"/>
        <w:rPr>
          <w:iCs/>
          <w:shd w:val="clear" w:color="auto" w:fill="FFFF66"/>
        </w:rPr>
      </w:pPr>
      <w:bookmarkStart w:id="106" w:name="_Toc403555176"/>
      <w:bookmarkStart w:id="107" w:name="_Ref405453282"/>
      <w:bookmarkStart w:id="108" w:name="_Toc403555177"/>
      <w:bookmarkStart w:id="109" w:name="_Ref405453293"/>
      <w:bookmarkStart w:id="110" w:name="_Toc403555179"/>
      <w:r w:rsidRPr="00F3256B">
        <w:rPr>
          <w:iCs/>
        </w:rPr>
        <w:t>Tender prices will be scored on a comparative basis, with the lowest compliant Tender (excluding any Tenders that the Authority rejects as being abnormally low or non-compliant) receiving 100% of the available marks (</w:t>
      </w:r>
      <w:r>
        <w:rPr>
          <w:iCs/>
        </w:rPr>
        <w:t>4</w:t>
      </w:r>
      <w:r w:rsidRPr="00F3256B">
        <w:rPr>
          <w:iCs/>
        </w:rPr>
        <w:t>0% following weighting).  All other Tenders will be compared against that lowest Tender using the formula:</w:t>
      </w:r>
      <w:bookmarkEnd w:id="106"/>
      <w:bookmarkEnd w:id="107"/>
      <w:r w:rsidRPr="00F3256B">
        <w:rPr>
          <w:iCs/>
          <w:shd w:val="clear" w:color="auto" w:fill="FFFF66"/>
        </w:rPr>
        <w:t xml:space="preserve"> </w:t>
      </w:r>
    </w:p>
    <w:p w14:paraId="1F7D93ED" w14:textId="77777777" w:rsidR="00176227" w:rsidRPr="00F3256B" w:rsidRDefault="00176227" w:rsidP="00176227">
      <w:pPr>
        <w:pStyle w:val="Heading2"/>
        <w:numPr>
          <w:ilvl w:val="0"/>
          <w:numId w:val="0"/>
        </w:numPr>
        <w:ind w:left="851" w:firstLine="849"/>
        <w:rPr>
          <w:iCs/>
          <w:color w:val="auto"/>
          <w:szCs w:val="24"/>
          <w:shd w:val="clear" w:color="auto" w:fill="FFFF66"/>
        </w:rPr>
      </w:pPr>
    </w:p>
    <w:p w14:paraId="2FA0B6B4" w14:textId="77777777" w:rsidR="00176227" w:rsidRPr="00F3256B" w:rsidRDefault="00176227" w:rsidP="00176227">
      <w:pPr>
        <w:pStyle w:val="Heading2"/>
        <w:numPr>
          <w:ilvl w:val="1"/>
          <w:numId w:val="0"/>
        </w:numPr>
        <w:ind w:left="851" w:firstLine="849"/>
        <w:rPr>
          <w:iCs/>
          <w:color w:val="auto"/>
        </w:rPr>
      </w:pPr>
      <w:r w:rsidRPr="00F3256B">
        <w:rPr>
          <w:iCs/>
          <w:color w:val="auto"/>
        </w:rPr>
        <w:t>(A / B) x 100</w:t>
      </w:r>
      <w:r w:rsidRPr="00F3256B">
        <w:rPr>
          <w:iCs/>
          <w:color w:val="auto"/>
          <w:shd w:val="clear" w:color="auto" w:fill="FFFF66"/>
        </w:rPr>
        <w:t xml:space="preserve"> </w:t>
      </w:r>
    </w:p>
    <w:p w14:paraId="438DD56E" w14:textId="77777777" w:rsidR="00176227" w:rsidRPr="00F3256B" w:rsidRDefault="00176227" w:rsidP="00176227">
      <w:pPr>
        <w:pStyle w:val="Heading2"/>
        <w:numPr>
          <w:ilvl w:val="0"/>
          <w:numId w:val="0"/>
        </w:numPr>
        <w:ind w:left="851" w:firstLine="849"/>
        <w:rPr>
          <w:iCs/>
          <w:color w:val="auto"/>
          <w:szCs w:val="24"/>
          <w:shd w:val="clear" w:color="auto" w:fill="FFFF66"/>
        </w:rPr>
      </w:pPr>
      <w:r w:rsidRPr="00F3256B">
        <w:rPr>
          <w:iCs/>
          <w:color w:val="auto"/>
          <w:szCs w:val="24"/>
        </w:rPr>
        <w:t>A = price of lowest compliant Tender</w:t>
      </w:r>
    </w:p>
    <w:p w14:paraId="3341C616" w14:textId="77777777" w:rsidR="00176227" w:rsidRPr="00A86339" w:rsidRDefault="00176227" w:rsidP="00176227">
      <w:pPr>
        <w:pStyle w:val="Heading2"/>
        <w:numPr>
          <w:ilvl w:val="0"/>
          <w:numId w:val="0"/>
        </w:numPr>
        <w:ind w:left="851" w:firstLine="849"/>
        <w:rPr>
          <w:iCs/>
        </w:rPr>
      </w:pPr>
      <w:r w:rsidRPr="00A86339">
        <w:rPr>
          <w:iCs/>
          <w:color w:val="auto"/>
          <w:szCs w:val="24"/>
        </w:rPr>
        <w:t>B = price of the Tender being scored</w:t>
      </w:r>
      <w:r w:rsidRPr="00A86339">
        <w:rPr>
          <w:iCs/>
        </w:rPr>
        <w:t xml:space="preserve">   </w:t>
      </w:r>
    </w:p>
    <w:p w14:paraId="7D590DC2" w14:textId="77777777" w:rsidR="00176227" w:rsidRPr="0025200C" w:rsidRDefault="00176227" w:rsidP="00176227">
      <w:pPr>
        <w:pStyle w:val="MRNumberedHeading2"/>
      </w:pPr>
      <w:bookmarkStart w:id="111" w:name="_Toc403555178"/>
      <w:bookmarkEnd w:id="108"/>
      <w:bookmarkEnd w:id="109"/>
      <w:r>
        <w:t xml:space="preserve">If it appears to the Authority that any Tender may be abnormally low then the Authority may ask the Bidder to explain its price or costs.  If following the Bidder's explanations the Authority is not </w:t>
      </w:r>
      <w:r>
        <w:lastRenderedPageBreak/>
        <w:t>satisfied with the Bidder's account for the low level of price or cost in the Tender, the Authority may treat the Tender as non-compliant and reject it.</w:t>
      </w:r>
      <w:bookmarkEnd w:id="111"/>
    </w:p>
    <w:p w14:paraId="671F89F0" w14:textId="77777777" w:rsidR="00A77338" w:rsidRPr="007C2F2F" w:rsidRDefault="00A77338" w:rsidP="00DD4504">
      <w:pPr>
        <w:pStyle w:val="Heading1"/>
        <w:spacing w:before="240" w:after="0"/>
        <w:ind w:left="709"/>
      </w:pPr>
      <w:r w:rsidRPr="007C2F2F">
        <w:t>Criteria – Scored Questions</w:t>
      </w:r>
      <w:r>
        <w:t>:  technical and quality evaluation</w:t>
      </w:r>
      <w:bookmarkEnd w:id="110"/>
    </w:p>
    <w:p w14:paraId="0075E9D2" w14:textId="5DD33C27" w:rsidR="006C1E7E" w:rsidRDefault="006C1E7E" w:rsidP="006B54D6">
      <w:pPr>
        <w:pStyle w:val="MRNumberedHeading2"/>
      </w:pPr>
      <w:bookmarkStart w:id="112" w:name="_Toc403555180"/>
      <w:bookmarkStart w:id="113" w:name="_Ref405453301"/>
      <w:bookmarkStart w:id="114" w:name="_Ref408579700"/>
      <w:r>
        <w:t xml:space="preserve">The </w:t>
      </w:r>
      <w:r w:rsidR="006A7F8F">
        <w:t>technical evaluation will be scored in accordance with the table below</w:t>
      </w:r>
      <w:r w:rsidR="00654199">
        <w:t xml:space="preserve">, should any bid receive a score of </w:t>
      </w:r>
      <w:r w:rsidR="004139FC">
        <w:t>1</w:t>
      </w:r>
      <w:r w:rsidR="00654199">
        <w:t xml:space="preserve"> or </w:t>
      </w:r>
      <w:r w:rsidR="00721E64">
        <w:t>below</w:t>
      </w:r>
      <w:r w:rsidR="00654199">
        <w:t xml:space="preserve"> this will automatically be </w:t>
      </w:r>
      <w:r w:rsidR="00163FBC">
        <w:t>rejected,</w:t>
      </w:r>
      <w:r w:rsidR="00654199">
        <w:t xml:space="preserve"> and the</w:t>
      </w:r>
      <w:r w:rsidR="00A957C1">
        <w:t xml:space="preserve"> Authority will</w:t>
      </w:r>
      <w:r w:rsidR="00654199">
        <w:t xml:space="preserve"> not evaluat</w:t>
      </w:r>
      <w:r w:rsidR="00A957C1">
        <w:t>e the bid</w:t>
      </w:r>
      <w:r w:rsidR="00654199">
        <w:t xml:space="preserve"> any further</w:t>
      </w:r>
      <w:r w:rsidR="006A7F8F">
        <w:t>:</w:t>
      </w:r>
      <w:bookmarkEnd w:id="112"/>
      <w:bookmarkEnd w:id="113"/>
      <w:bookmarkEnd w:id="114"/>
      <w:r w:rsidR="006A7F8F">
        <w:t xml:space="preserve"> </w:t>
      </w:r>
    </w:p>
    <w:p w14:paraId="1A81F0B1" w14:textId="77777777" w:rsidR="003E3276" w:rsidRDefault="003E3276" w:rsidP="006B54D6">
      <w:pPr>
        <w:pStyle w:val="MRNumberedHeading2"/>
        <w:numPr>
          <w:ilvl w:val="0"/>
          <w:numId w:val="0"/>
        </w:numPr>
        <w:ind w:left="72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92"/>
        <w:gridCol w:w="5387"/>
      </w:tblGrid>
      <w:tr w:rsidR="006A7F8F" w:rsidRPr="00A24900" w14:paraId="6D1FDDD1" w14:textId="77777777" w:rsidTr="00DD4504">
        <w:trPr>
          <w:cantSplit/>
          <w:trHeight w:val="538"/>
        </w:trPr>
        <w:tc>
          <w:tcPr>
            <w:tcW w:w="1843" w:type="dxa"/>
            <w:shd w:val="clear" w:color="auto" w:fill="BFBFBF" w:themeFill="background1" w:themeFillShade="BF"/>
            <w:vAlign w:val="center"/>
          </w:tcPr>
          <w:p w14:paraId="507ADA90" w14:textId="77777777" w:rsidR="006A7F8F" w:rsidRPr="0005222A" w:rsidRDefault="0005222A" w:rsidP="001D5911">
            <w:pPr>
              <w:pStyle w:val="Table"/>
              <w:keepNext/>
              <w:rPr>
                <w:b/>
              </w:rPr>
            </w:pPr>
            <w:r w:rsidRPr="0005222A">
              <w:rPr>
                <w:b/>
              </w:rPr>
              <w:t>Grade label</w:t>
            </w:r>
          </w:p>
        </w:tc>
        <w:tc>
          <w:tcPr>
            <w:tcW w:w="992" w:type="dxa"/>
            <w:shd w:val="clear" w:color="auto" w:fill="BFBFBF" w:themeFill="background1" w:themeFillShade="BF"/>
            <w:vAlign w:val="center"/>
          </w:tcPr>
          <w:p w14:paraId="50E1B160" w14:textId="77777777" w:rsidR="006A7F8F" w:rsidRPr="0005222A" w:rsidRDefault="0005222A" w:rsidP="001D5911">
            <w:pPr>
              <w:pStyle w:val="Table"/>
              <w:keepNext/>
              <w:jc w:val="center"/>
              <w:rPr>
                <w:b/>
              </w:rPr>
            </w:pPr>
            <w:r w:rsidRPr="0005222A">
              <w:rPr>
                <w:b/>
              </w:rPr>
              <w:t>Grade</w:t>
            </w:r>
          </w:p>
        </w:tc>
        <w:tc>
          <w:tcPr>
            <w:tcW w:w="5387" w:type="dxa"/>
            <w:shd w:val="clear" w:color="auto" w:fill="BFBFBF" w:themeFill="background1" w:themeFillShade="BF"/>
            <w:vAlign w:val="center"/>
          </w:tcPr>
          <w:p w14:paraId="04B9BEFE" w14:textId="77777777" w:rsidR="006A7F8F" w:rsidRPr="0005222A" w:rsidRDefault="0005222A" w:rsidP="001D5911">
            <w:pPr>
              <w:pStyle w:val="Table"/>
              <w:keepNext/>
              <w:rPr>
                <w:b/>
              </w:rPr>
            </w:pPr>
            <w:r w:rsidRPr="0005222A">
              <w:rPr>
                <w:b/>
              </w:rPr>
              <w:t>Definition of Grade</w:t>
            </w:r>
          </w:p>
        </w:tc>
      </w:tr>
      <w:tr w:rsidR="0005222A" w:rsidRPr="00A24900" w14:paraId="4D6DF188" w14:textId="77777777" w:rsidTr="00DD4504">
        <w:trPr>
          <w:cantSplit/>
          <w:trHeight w:val="860"/>
        </w:trPr>
        <w:tc>
          <w:tcPr>
            <w:tcW w:w="1843" w:type="dxa"/>
            <w:shd w:val="clear" w:color="auto" w:fill="auto"/>
            <w:vAlign w:val="center"/>
          </w:tcPr>
          <w:p w14:paraId="37C71859" w14:textId="77777777" w:rsidR="0005222A" w:rsidRPr="00A24900" w:rsidRDefault="0005222A" w:rsidP="008E2B30">
            <w:pPr>
              <w:pStyle w:val="Table"/>
              <w:keepNext/>
            </w:pPr>
            <w:r w:rsidRPr="00A24900">
              <w:t>Unacceptable</w:t>
            </w:r>
          </w:p>
        </w:tc>
        <w:tc>
          <w:tcPr>
            <w:tcW w:w="992" w:type="dxa"/>
            <w:shd w:val="clear" w:color="auto" w:fill="auto"/>
            <w:vAlign w:val="center"/>
          </w:tcPr>
          <w:p w14:paraId="4B584315" w14:textId="77777777" w:rsidR="0005222A" w:rsidRPr="00A24900" w:rsidRDefault="0005222A" w:rsidP="008E2B30">
            <w:pPr>
              <w:pStyle w:val="Table"/>
              <w:keepNext/>
              <w:jc w:val="center"/>
            </w:pPr>
            <w:r w:rsidRPr="00A24900">
              <w:t>0</w:t>
            </w:r>
          </w:p>
        </w:tc>
        <w:tc>
          <w:tcPr>
            <w:tcW w:w="5387" w:type="dxa"/>
            <w:shd w:val="clear" w:color="auto" w:fill="auto"/>
            <w:vAlign w:val="center"/>
          </w:tcPr>
          <w:p w14:paraId="1C9466D7" w14:textId="77777777" w:rsidR="0005222A" w:rsidRPr="00A24900" w:rsidRDefault="000226A1" w:rsidP="00287834">
            <w:pPr>
              <w:pStyle w:val="Table"/>
              <w:keepNext/>
              <w:jc w:val="both"/>
            </w:pPr>
            <w:r>
              <w:t>The proposal c</w:t>
            </w:r>
            <w:r w:rsidR="00287834">
              <w:t xml:space="preserve">ompletely fails to meet </w:t>
            </w:r>
            <w:r w:rsidR="00202FD5">
              <w:t xml:space="preserve">the </w:t>
            </w:r>
            <w:r w:rsidR="00287834">
              <w:t>required standard or does not provide an answer</w:t>
            </w:r>
          </w:p>
        </w:tc>
      </w:tr>
      <w:tr w:rsidR="0005222A" w:rsidRPr="00A24900" w14:paraId="2274D2C9" w14:textId="77777777" w:rsidTr="00DD4504">
        <w:trPr>
          <w:cantSplit/>
          <w:trHeight w:val="861"/>
        </w:trPr>
        <w:tc>
          <w:tcPr>
            <w:tcW w:w="1843" w:type="dxa"/>
            <w:shd w:val="clear" w:color="auto" w:fill="auto"/>
            <w:vAlign w:val="center"/>
          </w:tcPr>
          <w:p w14:paraId="0B1F1E96" w14:textId="77777777" w:rsidR="0005222A" w:rsidRPr="00A24900" w:rsidRDefault="0005222A" w:rsidP="001D5911">
            <w:pPr>
              <w:pStyle w:val="Table"/>
              <w:keepNext/>
            </w:pPr>
            <w:r w:rsidRPr="00A24900">
              <w:t>Weak</w:t>
            </w:r>
          </w:p>
        </w:tc>
        <w:tc>
          <w:tcPr>
            <w:tcW w:w="992" w:type="dxa"/>
            <w:shd w:val="clear" w:color="auto" w:fill="auto"/>
            <w:vAlign w:val="center"/>
          </w:tcPr>
          <w:p w14:paraId="56B20A0C" w14:textId="77777777" w:rsidR="0005222A" w:rsidRPr="00A24900" w:rsidRDefault="0005222A" w:rsidP="001D5911">
            <w:pPr>
              <w:pStyle w:val="Table"/>
              <w:keepNext/>
              <w:jc w:val="center"/>
            </w:pPr>
            <w:r w:rsidRPr="00A24900">
              <w:t>1</w:t>
            </w:r>
          </w:p>
        </w:tc>
        <w:tc>
          <w:tcPr>
            <w:tcW w:w="5387" w:type="dxa"/>
            <w:shd w:val="clear" w:color="auto" w:fill="auto"/>
            <w:vAlign w:val="center"/>
          </w:tcPr>
          <w:p w14:paraId="78FC21D1" w14:textId="77777777" w:rsidR="0005222A" w:rsidRPr="00A24900" w:rsidRDefault="000226A1" w:rsidP="00202FD5">
            <w:pPr>
              <w:pStyle w:val="Table"/>
              <w:keepNext/>
              <w:jc w:val="both"/>
            </w:pPr>
            <w:r>
              <w:t>The proposal s</w:t>
            </w:r>
            <w:r w:rsidR="00287834">
              <w:t>ignificantly fails to meet the standards required, contains significant shortcomings or is inconsistent with other aspects of the Tender</w:t>
            </w:r>
          </w:p>
        </w:tc>
      </w:tr>
      <w:tr w:rsidR="0005222A" w:rsidRPr="00A24900" w14:paraId="1F6AD708" w14:textId="77777777" w:rsidTr="00DD4504">
        <w:trPr>
          <w:cantSplit/>
          <w:trHeight w:val="860"/>
        </w:trPr>
        <w:tc>
          <w:tcPr>
            <w:tcW w:w="1843" w:type="dxa"/>
            <w:shd w:val="clear" w:color="auto" w:fill="auto"/>
            <w:vAlign w:val="center"/>
          </w:tcPr>
          <w:p w14:paraId="56734AED" w14:textId="77777777" w:rsidR="0005222A" w:rsidRPr="00A24900" w:rsidRDefault="0005222A" w:rsidP="001D5911">
            <w:pPr>
              <w:pStyle w:val="Table"/>
              <w:keepNext/>
            </w:pPr>
            <w:r w:rsidRPr="00A24900">
              <w:t>Satisfactory</w:t>
            </w:r>
          </w:p>
        </w:tc>
        <w:tc>
          <w:tcPr>
            <w:tcW w:w="992" w:type="dxa"/>
            <w:shd w:val="clear" w:color="auto" w:fill="auto"/>
            <w:vAlign w:val="center"/>
          </w:tcPr>
          <w:p w14:paraId="7144751B" w14:textId="77777777" w:rsidR="0005222A" w:rsidRPr="00A24900" w:rsidRDefault="0005222A" w:rsidP="001D5911">
            <w:pPr>
              <w:pStyle w:val="Table"/>
              <w:keepNext/>
              <w:jc w:val="center"/>
            </w:pPr>
            <w:r w:rsidRPr="00A24900">
              <w:t>2</w:t>
            </w:r>
          </w:p>
        </w:tc>
        <w:tc>
          <w:tcPr>
            <w:tcW w:w="5387" w:type="dxa"/>
            <w:shd w:val="clear" w:color="auto" w:fill="auto"/>
            <w:vAlign w:val="center"/>
          </w:tcPr>
          <w:p w14:paraId="0FB1321E" w14:textId="77777777" w:rsidR="0005222A" w:rsidRPr="00A24900" w:rsidRDefault="000226A1" w:rsidP="0005222A">
            <w:pPr>
              <w:pStyle w:val="Table"/>
              <w:keepNext/>
              <w:jc w:val="both"/>
            </w:pPr>
            <w:r>
              <w:t>The proposal m</w:t>
            </w:r>
            <w:r w:rsidR="00287834">
              <w:t xml:space="preserve">eets the required standard in most material respects, but is lacking or inconsistent in others </w:t>
            </w:r>
          </w:p>
        </w:tc>
      </w:tr>
      <w:tr w:rsidR="0005222A" w:rsidRPr="00A24900" w14:paraId="73B57A52" w14:textId="77777777" w:rsidTr="00DD4504">
        <w:trPr>
          <w:cantSplit/>
          <w:trHeight w:val="861"/>
        </w:trPr>
        <w:tc>
          <w:tcPr>
            <w:tcW w:w="1843" w:type="dxa"/>
            <w:shd w:val="clear" w:color="auto" w:fill="auto"/>
            <w:vAlign w:val="center"/>
          </w:tcPr>
          <w:p w14:paraId="24B9D968" w14:textId="77777777" w:rsidR="0005222A" w:rsidRPr="00A24900" w:rsidRDefault="0005222A" w:rsidP="001D5911">
            <w:pPr>
              <w:pStyle w:val="Table"/>
              <w:keepNext/>
            </w:pPr>
            <w:r w:rsidRPr="00A24900">
              <w:t>Good</w:t>
            </w:r>
          </w:p>
        </w:tc>
        <w:tc>
          <w:tcPr>
            <w:tcW w:w="992" w:type="dxa"/>
            <w:shd w:val="clear" w:color="auto" w:fill="auto"/>
            <w:vAlign w:val="center"/>
          </w:tcPr>
          <w:p w14:paraId="0B778152" w14:textId="77777777" w:rsidR="0005222A" w:rsidRPr="00A24900" w:rsidRDefault="0005222A" w:rsidP="001D5911">
            <w:pPr>
              <w:pStyle w:val="Table"/>
              <w:keepNext/>
              <w:jc w:val="center"/>
            </w:pPr>
            <w:r w:rsidRPr="00A24900">
              <w:t>3</w:t>
            </w:r>
          </w:p>
        </w:tc>
        <w:tc>
          <w:tcPr>
            <w:tcW w:w="5387" w:type="dxa"/>
            <w:shd w:val="clear" w:color="auto" w:fill="auto"/>
            <w:vAlign w:val="center"/>
          </w:tcPr>
          <w:p w14:paraId="147A18CA" w14:textId="77777777" w:rsidR="0005222A" w:rsidRPr="00A24900" w:rsidRDefault="000226A1" w:rsidP="0005222A">
            <w:pPr>
              <w:pStyle w:val="Table"/>
              <w:keepNext/>
              <w:jc w:val="both"/>
            </w:pPr>
            <w:r>
              <w:t>The proposal m</w:t>
            </w:r>
            <w:r w:rsidR="00287834">
              <w:t>eets the required standard in all material respects</w:t>
            </w:r>
          </w:p>
        </w:tc>
      </w:tr>
      <w:tr w:rsidR="0005222A" w:rsidRPr="00A24900" w14:paraId="6CE3DB2A" w14:textId="77777777" w:rsidTr="00DD4504">
        <w:trPr>
          <w:cantSplit/>
          <w:trHeight w:val="861"/>
        </w:trPr>
        <w:tc>
          <w:tcPr>
            <w:tcW w:w="1843" w:type="dxa"/>
            <w:shd w:val="clear" w:color="auto" w:fill="auto"/>
            <w:vAlign w:val="center"/>
          </w:tcPr>
          <w:p w14:paraId="676869D7" w14:textId="77777777" w:rsidR="0005222A" w:rsidRPr="00A24900" w:rsidRDefault="0005222A" w:rsidP="001D5911">
            <w:pPr>
              <w:pStyle w:val="Table"/>
              <w:keepNext/>
            </w:pPr>
            <w:r w:rsidRPr="00A24900">
              <w:t>Excellent</w:t>
            </w:r>
          </w:p>
        </w:tc>
        <w:tc>
          <w:tcPr>
            <w:tcW w:w="992" w:type="dxa"/>
            <w:shd w:val="clear" w:color="auto" w:fill="auto"/>
            <w:vAlign w:val="center"/>
          </w:tcPr>
          <w:p w14:paraId="279935FF" w14:textId="77777777" w:rsidR="0005222A" w:rsidRPr="00A24900" w:rsidRDefault="0005222A" w:rsidP="001D5911">
            <w:pPr>
              <w:pStyle w:val="Table"/>
              <w:keepNext/>
              <w:jc w:val="center"/>
            </w:pPr>
            <w:r w:rsidRPr="00A24900">
              <w:t>4</w:t>
            </w:r>
          </w:p>
        </w:tc>
        <w:tc>
          <w:tcPr>
            <w:tcW w:w="5387" w:type="dxa"/>
            <w:shd w:val="clear" w:color="auto" w:fill="auto"/>
            <w:vAlign w:val="center"/>
          </w:tcPr>
          <w:p w14:paraId="279C17F8" w14:textId="2B9B2214" w:rsidR="0005222A" w:rsidRPr="00A24900" w:rsidRDefault="00547486" w:rsidP="00287834">
            <w:pPr>
              <w:pStyle w:val="Table"/>
              <w:keepNext/>
              <w:jc w:val="both"/>
            </w:pPr>
            <w:r>
              <w:t>The proposal m</w:t>
            </w:r>
            <w:r w:rsidR="00287834">
              <w:t xml:space="preserve">eets the required standard in all material respects and exceeds some or all of the major requirements </w:t>
            </w:r>
          </w:p>
        </w:tc>
      </w:tr>
    </w:tbl>
    <w:p w14:paraId="2908EB2C" w14:textId="77777777" w:rsidR="006A7F8F" w:rsidRPr="00116860" w:rsidRDefault="006A7F8F" w:rsidP="000E189B">
      <w:pPr>
        <w:pStyle w:val="Heading2"/>
        <w:numPr>
          <w:ilvl w:val="0"/>
          <w:numId w:val="0"/>
        </w:numPr>
        <w:rPr>
          <w:i/>
          <w:color w:val="808080" w:themeColor="background1" w:themeShade="80"/>
        </w:rPr>
      </w:pPr>
    </w:p>
    <w:p w14:paraId="0F97783A" w14:textId="77777777" w:rsidR="00835E95" w:rsidRDefault="00901017" w:rsidP="00835E95">
      <w:pPr>
        <w:spacing w:after="240"/>
        <w:jc w:val="left"/>
        <w:rPr>
          <w:b/>
        </w:rPr>
      </w:pPr>
      <w:bookmarkStart w:id="115" w:name="_Ref403489615"/>
      <w:r>
        <w:br w:type="page"/>
      </w:r>
      <w:bookmarkStart w:id="116" w:name="_Toc403556511"/>
      <w:bookmarkEnd w:id="115"/>
      <w:r w:rsidR="005E4E9D" w:rsidRPr="005B59B7">
        <w:rPr>
          <w:b/>
        </w:rPr>
        <w:lastRenderedPageBreak/>
        <w:t>ANNEX A1</w:t>
      </w:r>
    </w:p>
    <w:p w14:paraId="6AE7B65D" w14:textId="63F02A66" w:rsidR="005E4E9D" w:rsidRPr="005B59B7" w:rsidRDefault="00E84532" w:rsidP="00835E95">
      <w:pPr>
        <w:spacing w:after="240"/>
        <w:jc w:val="left"/>
        <w:rPr>
          <w:b/>
        </w:rPr>
      </w:pPr>
      <w:r w:rsidRPr="005B59B7">
        <w:rPr>
          <w:b/>
        </w:rPr>
        <w:br/>
      </w:r>
      <w:r w:rsidR="005E4E9D" w:rsidRPr="005B59B7">
        <w:rPr>
          <w:b/>
        </w:rPr>
        <w:t>NHS TERMS AND CONDITIONS</w:t>
      </w:r>
      <w:bookmarkEnd w:id="116"/>
    </w:p>
    <w:p w14:paraId="1ACD3F1A" w14:textId="04D20698" w:rsidR="0078092F" w:rsidRPr="00EE57C8" w:rsidRDefault="0078092F" w:rsidP="0078092F">
      <w:pPr>
        <w:pStyle w:val="Body1"/>
        <w:ind w:left="0"/>
      </w:pPr>
      <w:r w:rsidRPr="00EE57C8">
        <w:t xml:space="preserve">The Authority intends to enter into a contract with the successful Bidder on </w:t>
      </w:r>
      <w:r w:rsidR="0031507D">
        <w:t>NHS Standard Terms and Conditions.</w:t>
      </w:r>
    </w:p>
    <w:p w14:paraId="4EFA9206" w14:textId="5B33F854" w:rsidR="0078092F" w:rsidRDefault="0078092F" w:rsidP="0078092F">
      <w:pPr>
        <w:pStyle w:val="Body1"/>
        <w:ind w:left="0"/>
      </w:pPr>
      <w:r>
        <w:t>This is contained within the Terms &amp; Conditions Section of ProContract</w:t>
      </w:r>
      <w:r w:rsidR="0031507D">
        <w:t>.</w:t>
      </w:r>
    </w:p>
    <w:p w14:paraId="7DC0D840" w14:textId="77777777" w:rsidR="0078092F" w:rsidRDefault="0078092F" w:rsidP="0078092F">
      <w:pPr>
        <w:pStyle w:val="Body1"/>
        <w:ind w:left="0"/>
      </w:pPr>
      <w:r>
        <w:t>When submitting your bid please indicate your agreement of the attached terms by accepting the terms &amp; conditions.</w:t>
      </w:r>
    </w:p>
    <w:p w14:paraId="07F023C8" w14:textId="3DBD1B4D" w:rsidR="00CF6718" w:rsidRPr="00944407" w:rsidRDefault="00CF6718" w:rsidP="0078092F">
      <w:pPr>
        <w:pStyle w:val="Body1"/>
        <w:ind w:left="0"/>
      </w:pPr>
    </w:p>
    <w:sectPr w:rsidR="00CF6718" w:rsidRPr="00944407" w:rsidSect="00B02442">
      <w:footerReference w:type="default" r:id="rId31"/>
      <w:headerReference w:type="first" r:id="rId32"/>
      <w:footerReference w:type="first" r:id="rId33"/>
      <w:type w:val="continuous"/>
      <w:pgSz w:w="11907" w:h="16840" w:code="9"/>
      <w:pgMar w:top="1418" w:right="1418" w:bottom="1418" w:left="1418" w:header="709"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B54FF" w14:textId="77777777" w:rsidR="001E72EB" w:rsidRDefault="001E72EB" w:rsidP="00C82318">
      <w:r>
        <w:separator/>
      </w:r>
    </w:p>
  </w:endnote>
  <w:endnote w:type="continuationSeparator" w:id="0">
    <w:p w14:paraId="34A97537" w14:textId="77777777" w:rsidR="001E72EB" w:rsidRDefault="001E72EB" w:rsidP="00C82318">
      <w:r>
        <w:continuationSeparator/>
      </w:r>
    </w:p>
  </w:endnote>
  <w:endnote w:type="continuationNotice" w:id="1">
    <w:p w14:paraId="51DBAB67" w14:textId="77777777" w:rsidR="001E72EB" w:rsidRDefault="001E7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94F83" w14:textId="77777777" w:rsidR="004A129B" w:rsidRPr="00100953" w:rsidRDefault="004A129B" w:rsidP="00D635F5">
    <w:pPr>
      <w:pStyle w:val="Footer"/>
      <w:rPr>
        <w:color w:val="808080" w:themeColor="background1" w:themeShade="80"/>
      </w:rPr>
    </w:pPr>
    <w:r>
      <w:rPr>
        <w:color w:val="808080" w:themeColor="background1" w:themeShade="80"/>
      </w:rPr>
      <w:t xml:space="preserve">ITT section A – below-threshold </w:t>
    </w:r>
    <w:r w:rsidRPr="00100953">
      <w:rPr>
        <w:color w:val="808080" w:themeColor="background1" w:themeShade="80"/>
      </w:rPr>
      <w:t>(</w:t>
    </w:r>
    <w:r>
      <w:rPr>
        <w:color w:val="808080" w:themeColor="background1" w:themeShade="80"/>
      </w:rPr>
      <w:t>February</w:t>
    </w:r>
    <w:r w:rsidRPr="00100953">
      <w:rPr>
        <w:color w:val="808080" w:themeColor="background1" w:themeShade="80"/>
      </w:rPr>
      <w:t xml:space="preserve"> 2015</w:t>
    </w:r>
    <w:r>
      <w:rPr>
        <w:color w:val="808080" w:themeColor="background1" w:themeShade="80"/>
      </w:rPr>
      <w:t>/PCR 2015</w:t>
    </w:r>
    <w:r w:rsidRPr="00100953">
      <w:rPr>
        <w:color w:val="808080" w:themeColor="background1" w:themeShade="80"/>
      </w:rPr>
      <w:t>)</w:t>
    </w:r>
  </w:p>
  <w:p w14:paraId="187F57B8" w14:textId="77777777" w:rsidR="004A129B" w:rsidRDefault="004A129B">
    <w:pPr>
      <w:pStyle w:val="Footer"/>
      <w:jc w:val="center"/>
    </w:pPr>
  </w:p>
  <w:p w14:paraId="54738AF4" w14:textId="77777777" w:rsidR="004A129B" w:rsidRDefault="004A129B" w:rsidP="00C06438">
    <w:pPr>
      <w:pStyle w:val="Footer"/>
      <w:tabs>
        <w:tab w:val="clear" w:pos="4678"/>
        <w:tab w:val="clear" w:pos="9356"/>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BA33E" w14:textId="77777777" w:rsidR="004A129B" w:rsidRDefault="004A129B">
    <w:pPr>
      <w:pStyle w:val="Footer"/>
      <w:jc w:val="center"/>
    </w:pPr>
  </w:p>
  <w:p w14:paraId="464FCBC1" w14:textId="25E43C55" w:rsidR="004A129B" w:rsidRDefault="00DE7A20">
    <w:pPr>
      <w:pStyle w:val="Footer"/>
    </w:pPr>
    <w:r>
      <w:rPr>
        <w:noProof/>
      </w:rPr>
      <w:drawing>
        <wp:inline distT="0" distB="0" distL="0" distR="0" wp14:anchorId="1043CA1A" wp14:editId="5F99AF3A">
          <wp:extent cx="3037840" cy="523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840" cy="5238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249746"/>
      <w:docPartObj>
        <w:docPartGallery w:val="Page Numbers (Bottom of Page)"/>
        <w:docPartUnique/>
      </w:docPartObj>
    </w:sdtPr>
    <w:sdtEndPr>
      <w:rPr>
        <w:noProof/>
      </w:rPr>
    </w:sdtEndPr>
    <w:sdtContent>
      <w:p w14:paraId="215436D3" w14:textId="77777777" w:rsidR="004A129B" w:rsidRPr="00100953" w:rsidRDefault="004A129B" w:rsidP="00D635F5">
        <w:pPr>
          <w:pStyle w:val="Footer"/>
          <w:rPr>
            <w:color w:val="808080" w:themeColor="background1" w:themeShade="80"/>
          </w:rPr>
        </w:pPr>
        <w:r>
          <w:rPr>
            <w:color w:val="808080" w:themeColor="background1" w:themeShade="80"/>
          </w:rPr>
          <w:t xml:space="preserve">ITT section A – </w:t>
        </w:r>
        <w:r w:rsidR="008C5577">
          <w:rPr>
            <w:color w:val="808080" w:themeColor="background1" w:themeShade="80"/>
          </w:rPr>
          <w:t xml:space="preserve">below-threshold </w:t>
        </w:r>
        <w:r>
          <w:rPr>
            <w:color w:val="808080" w:themeColor="background1" w:themeShade="80"/>
          </w:rPr>
          <w:t>(February</w:t>
        </w:r>
        <w:r w:rsidRPr="00100953">
          <w:rPr>
            <w:color w:val="808080" w:themeColor="background1" w:themeShade="80"/>
          </w:rPr>
          <w:t xml:space="preserve"> 2015</w:t>
        </w:r>
        <w:r>
          <w:rPr>
            <w:color w:val="808080" w:themeColor="background1" w:themeShade="80"/>
          </w:rPr>
          <w:t>/PCR 2015</w:t>
        </w:r>
        <w:r w:rsidRPr="00100953">
          <w:rPr>
            <w:color w:val="808080" w:themeColor="background1" w:themeShade="80"/>
          </w:rPr>
          <w:t>)</w:t>
        </w:r>
      </w:p>
      <w:p w14:paraId="771FDAD2" w14:textId="77777777" w:rsidR="004A129B" w:rsidRDefault="004A129B">
        <w:pPr>
          <w:pStyle w:val="Footer"/>
          <w:jc w:val="center"/>
        </w:pPr>
        <w:r>
          <w:fldChar w:fldCharType="begin"/>
        </w:r>
        <w:r>
          <w:instrText xml:space="preserve"> PAGE   \* MERGEFORMAT </w:instrText>
        </w:r>
        <w:r>
          <w:fldChar w:fldCharType="separate"/>
        </w:r>
        <w:r w:rsidR="00917550">
          <w:rPr>
            <w:noProof/>
          </w:rPr>
          <w:t>12</w:t>
        </w:r>
        <w:r>
          <w:rPr>
            <w:noProof/>
          </w:rPr>
          <w:fldChar w:fldCharType="end"/>
        </w:r>
      </w:p>
    </w:sdtContent>
  </w:sdt>
  <w:p w14:paraId="50895670" w14:textId="77777777" w:rsidR="004A129B" w:rsidRDefault="004A129B" w:rsidP="00C06438">
    <w:pPr>
      <w:pStyle w:val="Footer"/>
      <w:tabs>
        <w:tab w:val="clear" w:pos="4678"/>
        <w:tab w:val="clear" w:pos="9356"/>
        <w:tab w:val="center" w:pos="4536"/>
        <w:tab w:val="right" w:pos="90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96238"/>
      <w:docPartObj>
        <w:docPartGallery w:val="Page Numbers (Bottom of Page)"/>
        <w:docPartUnique/>
      </w:docPartObj>
    </w:sdtPr>
    <w:sdtEndPr>
      <w:rPr>
        <w:noProof/>
      </w:rPr>
    </w:sdtEndPr>
    <w:sdtContent>
      <w:p w14:paraId="22ECE9ED" w14:textId="77777777" w:rsidR="004A129B" w:rsidRPr="00100953" w:rsidRDefault="004A129B" w:rsidP="00D635F5">
        <w:pPr>
          <w:pStyle w:val="Footer"/>
          <w:rPr>
            <w:color w:val="808080" w:themeColor="background1" w:themeShade="80"/>
          </w:rPr>
        </w:pPr>
        <w:r>
          <w:rPr>
            <w:color w:val="808080" w:themeColor="background1" w:themeShade="80"/>
          </w:rPr>
          <w:t xml:space="preserve">ITT section A – </w:t>
        </w:r>
        <w:r w:rsidR="008C5577">
          <w:rPr>
            <w:color w:val="808080" w:themeColor="background1" w:themeShade="80"/>
          </w:rPr>
          <w:t xml:space="preserve">below-threshold </w:t>
        </w:r>
        <w:r w:rsidRPr="00100953">
          <w:rPr>
            <w:color w:val="808080" w:themeColor="background1" w:themeShade="80"/>
          </w:rPr>
          <w:t>(</w:t>
        </w:r>
        <w:r>
          <w:rPr>
            <w:color w:val="808080" w:themeColor="background1" w:themeShade="80"/>
          </w:rPr>
          <w:t>February</w:t>
        </w:r>
        <w:r w:rsidRPr="00100953">
          <w:rPr>
            <w:color w:val="808080" w:themeColor="background1" w:themeShade="80"/>
          </w:rPr>
          <w:t xml:space="preserve"> 2015</w:t>
        </w:r>
        <w:r>
          <w:rPr>
            <w:color w:val="808080" w:themeColor="background1" w:themeShade="80"/>
          </w:rPr>
          <w:t>/PCR 2015</w:t>
        </w:r>
        <w:r w:rsidRPr="00100953">
          <w:rPr>
            <w:color w:val="808080" w:themeColor="background1" w:themeShade="80"/>
          </w:rPr>
          <w:t>)</w:t>
        </w:r>
      </w:p>
      <w:p w14:paraId="3D3D22A9" w14:textId="77777777" w:rsidR="004A129B" w:rsidRDefault="004A129B">
        <w:pPr>
          <w:pStyle w:val="Footer"/>
          <w:jc w:val="center"/>
        </w:pPr>
        <w:r>
          <w:fldChar w:fldCharType="begin"/>
        </w:r>
        <w:r>
          <w:instrText xml:space="preserve"> PAGE   \* MERGEFORMAT </w:instrText>
        </w:r>
        <w:r>
          <w:fldChar w:fldCharType="separate"/>
        </w:r>
        <w:r w:rsidR="00917550">
          <w:rPr>
            <w:noProof/>
          </w:rPr>
          <w:t>1</w:t>
        </w:r>
        <w:r>
          <w:rPr>
            <w:noProof/>
          </w:rPr>
          <w:fldChar w:fldCharType="end"/>
        </w:r>
      </w:p>
    </w:sdtContent>
  </w:sdt>
  <w:p w14:paraId="3382A365" w14:textId="77777777" w:rsidR="004A129B" w:rsidRDefault="004A1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F705C" w14:textId="77777777" w:rsidR="001E72EB" w:rsidRDefault="001E72EB" w:rsidP="00C82318">
      <w:r>
        <w:separator/>
      </w:r>
    </w:p>
  </w:footnote>
  <w:footnote w:type="continuationSeparator" w:id="0">
    <w:p w14:paraId="22EFAF2C" w14:textId="77777777" w:rsidR="001E72EB" w:rsidRDefault="001E72EB" w:rsidP="00C82318">
      <w:r>
        <w:continuationSeparator/>
      </w:r>
    </w:p>
  </w:footnote>
  <w:footnote w:type="continuationNotice" w:id="1">
    <w:p w14:paraId="4540DD07" w14:textId="77777777" w:rsidR="001E72EB" w:rsidRDefault="001E7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29631" w14:textId="77777777" w:rsidR="007C2532" w:rsidRPr="007C2532" w:rsidRDefault="007C2532" w:rsidP="007C2532">
    <w:pPr>
      <w:pStyle w:val="Header"/>
      <w:jc w:val="right"/>
    </w:pPr>
    <w:r>
      <w:rPr>
        <w:rStyle w:val="normaltextrun"/>
        <w:rFonts w:cs="Arial"/>
        <w:b/>
        <w:bCs/>
        <w:color w:val="365F91"/>
        <w:sz w:val="28"/>
        <w:szCs w:val="28"/>
        <w:shd w:val="clear" w:color="auto" w:fill="FFFFFF"/>
      </w:rPr>
      <w:t>ITT Section A (open)</w:t>
    </w:r>
    <w:r>
      <w:rPr>
        <w:rStyle w:val="eop"/>
        <w:rFonts w:cs="Arial"/>
        <w:color w:val="000000"/>
        <w:sz w:val="28"/>
        <w:szCs w:val="28"/>
        <w:shd w:val="clear" w:color="auto" w:fill="FFFFFF"/>
      </w:rPr>
      <w:t> </w:t>
    </w:r>
  </w:p>
  <w:p w14:paraId="4CBDD13D" w14:textId="77777777" w:rsidR="007C2532" w:rsidRDefault="007C2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F136" w14:textId="443D1193" w:rsidR="004A129B" w:rsidRPr="001A0E3F" w:rsidRDefault="00C91D48" w:rsidP="00C91D48">
    <w:pPr>
      <w:pStyle w:val="Header"/>
      <w:jc w:val="right"/>
      <w:rPr>
        <w:b/>
      </w:rPr>
    </w:pPr>
    <w:r>
      <w:rPr>
        <w:b/>
        <w:noProof/>
      </w:rPr>
      <w:drawing>
        <wp:inline distT="0" distB="0" distL="0" distR="0" wp14:anchorId="3D3E2D1E" wp14:editId="5B0AB134">
          <wp:extent cx="2792095" cy="65214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095" cy="6521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E22F" w14:textId="66608158" w:rsidR="00CB4AB3" w:rsidRPr="007C2532" w:rsidRDefault="007C2532" w:rsidP="007C2532">
    <w:pPr>
      <w:pStyle w:val="Header"/>
      <w:jc w:val="right"/>
    </w:pPr>
    <w:r>
      <w:rPr>
        <w:rStyle w:val="normaltextrun"/>
        <w:rFonts w:cs="Arial"/>
        <w:b/>
        <w:bCs/>
        <w:color w:val="365F91"/>
        <w:sz w:val="28"/>
        <w:szCs w:val="28"/>
        <w:shd w:val="clear" w:color="auto" w:fill="FFFFFF"/>
      </w:rPr>
      <w:t>ITT Section A (open)</w:t>
    </w:r>
    <w:r>
      <w:rPr>
        <w:rStyle w:val="eop"/>
        <w:rFonts w:cs="Arial"/>
        <w:color w:val="000000"/>
        <w:sz w:val="28"/>
        <w:szCs w:val="28"/>
        <w:shd w:val="clear" w:color="auto" w:fill="FFFFFF"/>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122966D2"/>
    <w:multiLevelType w:val="multilevel"/>
    <w:tmpl w:val="0AFE29D4"/>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808080" w:themeColor="background1" w:themeShade="8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 w15:restartNumberingAfterBreak="0">
    <w:nsid w:val="14746D82"/>
    <w:multiLevelType w:val="hybridMultilevel"/>
    <w:tmpl w:val="AB30C784"/>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6"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7" w15:restartNumberingAfterBreak="0">
    <w:nsid w:val="18B6380E"/>
    <w:multiLevelType w:val="multilevel"/>
    <w:tmpl w:val="BB842F96"/>
    <w:name w:val="SIX"/>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8" w15:restartNumberingAfterBreak="0">
    <w:nsid w:val="1D4C11A5"/>
    <w:multiLevelType w:val="hybridMultilevel"/>
    <w:tmpl w:val="B39ABE74"/>
    <w:lvl w:ilvl="0" w:tplc="0E1E195E">
      <w:start w:val="1"/>
      <w:numFmt w:val="decimal"/>
      <w:lvlText w:val="%1."/>
      <w:lvlJc w:val="left"/>
      <w:pPr>
        <w:ind w:left="454"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A604E3"/>
    <w:multiLevelType w:val="multilevel"/>
    <w:tmpl w:val="7CF408AE"/>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4"/>
        </w:tabs>
        <w:ind w:left="2214"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0" w15:restartNumberingAfterBreak="0">
    <w:nsid w:val="28C249A2"/>
    <w:multiLevelType w:val="hybridMultilevel"/>
    <w:tmpl w:val="7CA2B3EE"/>
    <w:name w:val="Section"/>
    <w:lvl w:ilvl="0" w:tplc="7C16C9BC">
      <w:start w:val="1"/>
      <w:numFmt w:val="upperLetter"/>
      <w:pStyle w:val="Section"/>
      <w:lvlText w:val="PART %1"/>
      <w:lvlJc w:val="left"/>
      <w:pPr>
        <w:tabs>
          <w:tab w:val="num" w:pos="2043"/>
        </w:tabs>
        <w:ind w:left="2043"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1" w15:restartNumberingAfterBreak="0">
    <w:nsid w:val="34F1480E"/>
    <w:multiLevelType w:val="hybridMultilevel"/>
    <w:tmpl w:val="0C38435A"/>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2"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3" w15:restartNumberingAfterBreak="0">
    <w:nsid w:val="41872820"/>
    <w:multiLevelType w:val="hybridMultilevel"/>
    <w:tmpl w:val="5FCA38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5C45F7"/>
    <w:multiLevelType w:val="multilevel"/>
    <w:tmpl w:val="87C0317E"/>
    <w:name w:val="Heading"/>
    <w:lvl w:ilvl="0">
      <w:start w:val="1"/>
      <w:numFmt w:val="decimal"/>
      <w:lvlText w:val="%1"/>
      <w:lvlJc w:val="left"/>
      <w:pPr>
        <w:tabs>
          <w:tab w:val="num" w:pos="851"/>
        </w:tabs>
        <w:ind w:left="851" w:hanging="851"/>
      </w:pPr>
      <w:rPr>
        <w:rFonts w:hint="default"/>
        <w:caps w:val="0"/>
        <w:strike w:val="0"/>
        <w:dstrike w:val="0"/>
        <w:vanish w:val="0"/>
        <w:color w:val="808080" w:themeColor="background1" w:themeShade="8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808080" w:themeColor="background1" w:themeShade="8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B82646E"/>
    <w:multiLevelType w:val="multilevel"/>
    <w:tmpl w:val="EC981A00"/>
    <w:name w:val="ONE_H1"/>
    <w:lvl w:ilvl="0">
      <w:start w:val="1"/>
      <w:numFmt w:val="decimal"/>
      <w:pStyle w:val="ONEH1"/>
      <w:lvlText w:val="%1."/>
      <w:lvlJc w:val="left"/>
      <w:pPr>
        <w:tabs>
          <w:tab w:val="num" w:pos="360"/>
        </w:tabs>
        <w:ind w:left="360" w:hanging="360"/>
      </w:pPr>
      <w:rPr>
        <w:rFonts w:hint="default"/>
        <w:b/>
        <w:i w:val="0"/>
        <w:sz w:val="24"/>
      </w:rPr>
    </w:lvl>
    <w:lvl w:ilvl="1">
      <w:start w:val="1"/>
      <w:numFmt w:val="decimal"/>
      <w:lvlText w:val="%1.%2"/>
      <w:lvlJc w:val="left"/>
      <w:pPr>
        <w:tabs>
          <w:tab w:val="num" w:pos="1440"/>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7"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8" w15:restartNumberingAfterBreak="0">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4DE53E8"/>
    <w:multiLevelType w:val="hybridMultilevel"/>
    <w:tmpl w:val="E506D61E"/>
    <w:name w:val="Style Section X + Bottom: (Single solid line Auto  0.5 pt Line wi...1"/>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hint="default"/>
      </w:rPr>
    </w:lvl>
    <w:lvl w:ilvl="2" w:tplc="4758908C">
      <w:start w:val="1"/>
      <w:numFmt w:val="lowerLetter"/>
      <w:lvlText w:val="%3)"/>
      <w:lvlJc w:val="left"/>
      <w:pPr>
        <w:tabs>
          <w:tab w:val="num" w:pos="1991"/>
        </w:tabs>
        <w:ind w:left="1991" w:hanging="720"/>
      </w:pPr>
      <w:rPr>
        <w:rFonts w:hint="default"/>
      </w:rPr>
    </w:lvl>
    <w:lvl w:ilvl="3" w:tplc="0809000F" w:tentative="1">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20" w15:restartNumberingAfterBreak="0">
    <w:nsid w:val="71232D24"/>
    <w:multiLevelType w:val="multilevel"/>
    <w:tmpl w:val="6E1494BC"/>
    <w:name w:val="Single Schedule"/>
    <w:lvl w:ilvl="0">
      <w:start w:val="1"/>
      <w:numFmt w:val="none"/>
      <w:pStyle w:val="ScheduleHeadingSingle"/>
      <w:suff w:val="nothing"/>
      <w:lvlText w:val="The 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75273564"/>
    <w:multiLevelType w:val="hybridMultilevel"/>
    <w:tmpl w:val="11AC3108"/>
    <w:name w:val="Style1"/>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22" w15:restartNumberingAfterBreak="0">
    <w:nsid w:val="7C5C23D8"/>
    <w:multiLevelType w:val="hybridMultilevel"/>
    <w:tmpl w:val="8C8A2582"/>
    <w:name w:val="Heading22"/>
    <w:lvl w:ilvl="0" w:tplc="163C795A">
      <w:start w:val="1"/>
      <w:numFmt w:val="decimal"/>
      <w:pStyle w:val="MRNumberedHeading3"/>
      <w:lvlText w:val="1.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
  </w:num>
  <w:num w:numId="2">
    <w:abstractNumId w:val="2"/>
  </w:num>
  <w:num w:numId="3">
    <w:abstractNumId w:val="12"/>
  </w:num>
  <w:num w:numId="4">
    <w:abstractNumId w:val="14"/>
  </w:num>
  <w:num w:numId="5">
    <w:abstractNumId w:val="1"/>
  </w:num>
  <w:num w:numId="6">
    <w:abstractNumId w:val="6"/>
  </w:num>
  <w:num w:numId="7">
    <w:abstractNumId w:val="17"/>
  </w:num>
  <w:num w:numId="8">
    <w:abstractNumId w:val="0"/>
  </w:num>
  <w:num w:numId="9">
    <w:abstractNumId w:val="20"/>
  </w:num>
  <w:num w:numId="10">
    <w:abstractNumId w:val="15"/>
  </w:num>
  <w:num w:numId="11">
    <w:abstractNumId w:val="16"/>
  </w:num>
  <w:num w:numId="12">
    <w:abstractNumId w:val="19"/>
  </w:num>
  <w:num w:numId="13">
    <w:abstractNumId w:val="4"/>
  </w:num>
  <w:num w:numId="14">
    <w:abstractNumId w:val="7"/>
  </w:num>
  <w:num w:numId="15">
    <w:abstractNumId w:val="21"/>
  </w:num>
  <w:num w:numId="16">
    <w:abstractNumId w:val="10"/>
  </w:num>
  <w:num w:numId="17">
    <w:abstractNumId w:val="18"/>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11"/>
  </w:num>
  <w:num w:numId="23">
    <w:abstractNumId w:val="5"/>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85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188684"/>
    <w:docVar w:name="CLIENTID" w:val="215922"/>
    <w:docVar w:name="COMPANYID" w:val="2122615784"/>
    <w:docVar w:name="D3_TOC_c_1" w:val="&lt;TOC&gt;&lt;Name&gt;b78e6a3d-cb97-4783-853b-89ccf0addc48&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Annexure Heading Single&lt;/Style&gt;&lt;Style&gt;Heading 1&lt;/Style&gt;&lt;Style&gt;Schedule Heading&lt;/Style&gt;&lt;Style&gt;Schedule Heading Single&lt;/Style&gt;&lt;/Styles&gt;&lt;Format Value=&quot;&quot; /&gt;&lt;Type Value=&quot;Whole Paragraph&quot; /&gt;&lt;TabLeader&gt;Dots&lt;/TabLeader&gt;&lt;/Level&gt;&lt;Level ID=&quot;2&quot; IncludePageNumber=&quot;TRUE&quot;&gt;&lt;Styles&gt;&lt;Style&gt;M&amp;amp;R Numbered Heading 2&lt;/Style&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188350"/>
    <w:docVar w:name="SERIALNO" w:val="11956"/>
  </w:docVars>
  <w:rsids>
    <w:rsidRoot w:val="00EE5EB0"/>
    <w:rsid w:val="000018B5"/>
    <w:rsid w:val="00003697"/>
    <w:rsid w:val="00007458"/>
    <w:rsid w:val="00010DCA"/>
    <w:rsid w:val="00012B5C"/>
    <w:rsid w:val="00014E77"/>
    <w:rsid w:val="00017AD9"/>
    <w:rsid w:val="000226A1"/>
    <w:rsid w:val="00022F7E"/>
    <w:rsid w:val="00023643"/>
    <w:rsid w:val="00030477"/>
    <w:rsid w:val="00030FC3"/>
    <w:rsid w:val="00031E5B"/>
    <w:rsid w:val="00032B57"/>
    <w:rsid w:val="0003486B"/>
    <w:rsid w:val="000354F5"/>
    <w:rsid w:val="00036C7D"/>
    <w:rsid w:val="00040181"/>
    <w:rsid w:val="00041C11"/>
    <w:rsid w:val="00044857"/>
    <w:rsid w:val="00050008"/>
    <w:rsid w:val="0005222A"/>
    <w:rsid w:val="00053672"/>
    <w:rsid w:val="000538CE"/>
    <w:rsid w:val="00060F58"/>
    <w:rsid w:val="000627AD"/>
    <w:rsid w:val="00065291"/>
    <w:rsid w:val="00066BA7"/>
    <w:rsid w:val="00070790"/>
    <w:rsid w:val="00076883"/>
    <w:rsid w:val="000800FA"/>
    <w:rsid w:val="0008061B"/>
    <w:rsid w:val="00081B88"/>
    <w:rsid w:val="000831C0"/>
    <w:rsid w:val="000849EC"/>
    <w:rsid w:val="000927EE"/>
    <w:rsid w:val="00094EC7"/>
    <w:rsid w:val="0009541E"/>
    <w:rsid w:val="000955F2"/>
    <w:rsid w:val="00097408"/>
    <w:rsid w:val="000974B1"/>
    <w:rsid w:val="000A0DF7"/>
    <w:rsid w:val="000A1883"/>
    <w:rsid w:val="000A4844"/>
    <w:rsid w:val="000B1075"/>
    <w:rsid w:val="000B31A2"/>
    <w:rsid w:val="000C0849"/>
    <w:rsid w:val="000C7354"/>
    <w:rsid w:val="000D1451"/>
    <w:rsid w:val="000D19B2"/>
    <w:rsid w:val="000D7C50"/>
    <w:rsid w:val="000E0132"/>
    <w:rsid w:val="000E07E4"/>
    <w:rsid w:val="000E189B"/>
    <w:rsid w:val="000E408B"/>
    <w:rsid w:val="000E5634"/>
    <w:rsid w:val="000E56A8"/>
    <w:rsid w:val="000E5A7E"/>
    <w:rsid w:val="000E5C37"/>
    <w:rsid w:val="000E5CAA"/>
    <w:rsid w:val="000E7C13"/>
    <w:rsid w:val="000F54F5"/>
    <w:rsid w:val="000F79D6"/>
    <w:rsid w:val="0010037F"/>
    <w:rsid w:val="001039C4"/>
    <w:rsid w:val="00105BDB"/>
    <w:rsid w:val="001065C5"/>
    <w:rsid w:val="00112B59"/>
    <w:rsid w:val="00113020"/>
    <w:rsid w:val="00116860"/>
    <w:rsid w:val="00117606"/>
    <w:rsid w:val="001215FE"/>
    <w:rsid w:val="00121AD1"/>
    <w:rsid w:val="0012295A"/>
    <w:rsid w:val="00131271"/>
    <w:rsid w:val="001338B0"/>
    <w:rsid w:val="00134E47"/>
    <w:rsid w:val="00136596"/>
    <w:rsid w:val="001375C3"/>
    <w:rsid w:val="0013762C"/>
    <w:rsid w:val="0014081D"/>
    <w:rsid w:val="00144491"/>
    <w:rsid w:val="00145760"/>
    <w:rsid w:val="00145A4D"/>
    <w:rsid w:val="00151149"/>
    <w:rsid w:val="0015192E"/>
    <w:rsid w:val="00152C7C"/>
    <w:rsid w:val="001601C8"/>
    <w:rsid w:val="00161FF0"/>
    <w:rsid w:val="00162244"/>
    <w:rsid w:val="00163FBC"/>
    <w:rsid w:val="001664D9"/>
    <w:rsid w:val="001673BF"/>
    <w:rsid w:val="0017043F"/>
    <w:rsid w:val="00172AE4"/>
    <w:rsid w:val="001733A6"/>
    <w:rsid w:val="00173842"/>
    <w:rsid w:val="00173E4A"/>
    <w:rsid w:val="00173FAB"/>
    <w:rsid w:val="00174346"/>
    <w:rsid w:val="0017619B"/>
    <w:rsid w:val="00176227"/>
    <w:rsid w:val="00177F2B"/>
    <w:rsid w:val="00181DD8"/>
    <w:rsid w:val="00182BFD"/>
    <w:rsid w:val="00184371"/>
    <w:rsid w:val="001845E0"/>
    <w:rsid w:val="001911EE"/>
    <w:rsid w:val="00193011"/>
    <w:rsid w:val="001930C3"/>
    <w:rsid w:val="00193B11"/>
    <w:rsid w:val="00194490"/>
    <w:rsid w:val="001945BD"/>
    <w:rsid w:val="001A0407"/>
    <w:rsid w:val="001A0E3F"/>
    <w:rsid w:val="001A3B2A"/>
    <w:rsid w:val="001A504D"/>
    <w:rsid w:val="001A5DF8"/>
    <w:rsid w:val="001A786B"/>
    <w:rsid w:val="001B1C55"/>
    <w:rsid w:val="001B5F4F"/>
    <w:rsid w:val="001B7E88"/>
    <w:rsid w:val="001C30BB"/>
    <w:rsid w:val="001C4A07"/>
    <w:rsid w:val="001C4CA0"/>
    <w:rsid w:val="001C747B"/>
    <w:rsid w:val="001D0DBC"/>
    <w:rsid w:val="001D1FC8"/>
    <w:rsid w:val="001D268B"/>
    <w:rsid w:val="001D3AC6"/>
    <w:rsid w:val="001D4E87"/>
    <w:rsid w:val="001D5911"/>
    <w:rsid w:val="001D6EDE"/>
    <w:rsid w:val="001E1DE2"/>
    <w:rsid w:val="001E27EC"/>
    <w:rsid w:val="001E5F7F"/>
    <w:rsid w:val="001E72EB"/>
    <w:rsid w:val="001E7C74"/>
    <w:rsid w:val="001E7D3C"/>
    <w:rsid w:val="001F07B3"/>
    <w:rsid w:val="001F110F"/>
    <w:rsid w:val="001F3352"/>
    <w:rsid w:val="001F37D7"/>
    <w:rsid w:val="00200E60"/>
    <w:rsid w:val="00202FD5"/>
    <w:rsid w:val="00203270"/>
    <w:rsid w:val="002034C2"/>
    <w:rsid w:val="0020513D"/>
    <w:rsid w:val="00210AD3"/>
    <w:rsid w:val="00210E69"/>
    <w:rsid w:val="002110DD"/>
    <w:rsid w:val="00211D34"/>
    <w:rsid w:val="00214D97"/>
    <w:rsid w:val="002151AE"/>
    <w:rsid w:val="00220C70"/>
    <w:rsid w:val="00223555"/>
    <w:rsid w:val="00223569"/>
    <w:rsid w:val="002236C5"/>
    <w:rsid w:val="00223A3D"/>
    <w:rsid w:val="00223F6E"/>
    <w:rsid w:val="0022652F"/>
    <w:rsid w:val="00226AE3"/>
    <w:rsid w:val="0022707C"/>
    <w:rsid w:val="002273F5"/>
    <w:rsid w:val="00231397"/>
    <w:rsid w:val="00235829"/>
    <w:rsid w:val="0023694C"/>
    <w:rsid w:val="00236A55"/>
    <w:rsid w:val="002449D5"/>
    <w:rsid w:val="00246C62"/>
    <w:rsid w:val="002471B4"/>
    <w:rsid w:val="00247F0F"/>
    <w:rsid w:val="00250427"/>
    <w:rsid w:val="0025200C"/>
    <w:rsid w:val="0025300A"/>
    <w:rsid w:val="0025411E"/>
    <w:rsid w:val="002556D8"/>
    <w:rsid w:val="00257686"/>
    <w:rsid w:val="00257EF9"/>
    <w:rsid w:val="0026116A"/>
    <w:rsid w:val="00262D1B"/>
    <w:rsid w:val="0026345E"/>
    <w:rsid w:val="002651E8"/>
    <w:rsid w:val="00270180"/>
    <w:rsid w:val="002705A5"/>
    <w:rsid w:val="002734C0"/>
    <w:rsid w:val="002741B5"/>
    <w:rsid w:val="0027505F"/>
    <w:rsid w:val="00276E1B"/>
    <w:rsid w:val="00277BB6"/>
    <w:rsid w:val="002820AF"/>
    <w:rsid w:val="00282861"/>
    <w:rsid w:val="0028393A"/>
    <w:rsid w:val="00285A06"/>
    <w:rsid w:val="00285CDB"/>
    <w:rsid w:val="002869D0"/>
    <w:rsid w:val="00287298"/>
    <w:rsid w:val="00287614"/>
    <w:rsid w:val="00287834"/>
    <w:rsid w:val="00290714"/>
    <w:rsid w:val="0029461C"/>
    <w:rsid w:val="00296E12"/>
    <w:rsid w:val="002A718A"/>
    <w:rsid w:val="002A73DD"/>
    <w:rsid w:val="002B3866"/>
    <w:rsid w:val="002B7BAF"/>
    <w:rsid w:val="002C0B25"/>
    <w:rsid w:val="002C1FFB"/>
    <w:rsid w:val="002C28D2"/>
    <w:rsid w:val="002C4D69"/>
    <w:rsid w:val="002C56F6"/>
    <w:rsid w:val="002C5F84"/>
    <w:rsid w:val="002C6631"/>
    <w:rsid w:val="002C7CF5"/>
    <w:rsid w:val="002D2E91"/>
    <w:rsid w:val="002D378C"/>
    <w:rsid w:val="002D6116"/>
    <w:rsid w:val="002E072D"/>
    <w:rsid w:val="002E0D88"/>
    <w:rsid w:val="002E1DD8"/>
    <w:rsid w:val="002E2E62"/>
    <w:rsid w:val="002F18DD"/>
    <w:rsid w:val="002F23DC"/>
    <w:rsid w:val="002F4080"/>
    <w:rsid w:val="003003CB"/>
    <w:rsid w:val="00302870"/>
    <w:rsid w:val="00305D5B"/>
    <w:rsid w:val="0030746C"/>
    <w:rsid w:val="00307758"/>
    <w:rsid w:val="00311BD5"/>
    <w:rsid w:val="0031507D"/>
    <w:rsid w:val="003219DA"/>
    <w:rsid w:val="00322A20"/>
    <w:rsid w:val="003273D3"/>
    <w:rsid w:val="003318CA"/>
    <w:rsid w:val="00334102"/>
    <w:rsid w:val="00334F1A"/>
    <w:rsid w:val="003369CD"/>
    <w:rsid w:val="00336D0E"/>
    <w:rsid w:val="00337295"/>
    <w:rsid w:val="00337F61"/>
    <w:rsid w:val="00343763"/>
    <w:rsid w:val="00345B84"/>
    <w:rsid w:val="00345E83"/>
    <w:rsid w:val="00347CA3"/>
    <w:rsid w:val="003549F4"/>
    <w:rsid w:val="00362AE0"/>
    <w:rsid w:val="00366F30"/>
    <w:rsid w:val="003702BE"/>
    <w:rsid w:val="0038098B"/>
    <w:rsid w:val="00381FFD"/>
    <w:rsid w:val="0038499B"/>
    <w:rsid w:val="00390E8B"/>
    <w:rsid w:val="00390EBF"/>
    <w:rsid w:val="00395503"/>
    <w:rsid w:val="003A031F"/>
    <w:rsid w:val="003A0A98"/>
    <w:rsid w:val="003A0D57"/>
    <w:rsid w:val="003A1D39"/>
    <w:rsid w:val="003A1E3E"/>
    <w:rsid w:val="003A300F"/>
    <w:rsid w:val="003A5CAB"/>
    <w:rsid w:val="003A630B"/>
    <w:rsid w:val="003B1EDB"/>
    <w:rsid w:val="003B7C51"/>
    <w:rsid w:val="003B7E1D"/>
    <w:rsid w:val="003C35CA"/>
    <w:rsid w:val="003C3C19"/>
    <w:rsid w:val="003D1AAA"/>
    <w:rsid w:val="003D64D4"/>
    <w:rsid w:val="003D6B24"/>
    <w:rsid w:val="003D791D"/>
    <w:rsid w:val="003E0D95"/>
    <w:rsid w:val="003E1425"/>
    <w:rsid w:val="003E3276"/>
    <w:rsid w:val="003E3454"/>
    <w:rsid w:val="003E3EE7"/>
    <w:rsid w:val="003F1507"/>
    <w:rsid w:val="003F585D"/>
    <w:rsid w:val="004002CC"/>
    <w:rsid w:val="004010FB"/>
    <w:rsid w:val="00401301"/>
    <w:rsid w:val="00401FF0"/>
    <w:rsid w:val="004116DE"/>
    <w:rsid w:val="004139FC"/>
    <w:rsid w:val="004164C8"/>
    <w:rsid w:val="004168B8"/>
    <w:rsid w:val="004227D6"/>
    <w:rsid w:val="004230E7"/>
    <w:rsid w:val="004244F2"/>
    <w:rsid w:val="004251F8"/>
    <w:rsid w:val="004278BF"/>
    <w:rsid w:val="00430158"/>
    <w:rsid w:val="004411D8"/>
    <w:rsid w:val="004528AD"/>
    <w:rsid w:val="00453A99"/>
    <w:rsid w:val="00455C59"/>
    <w:rsid w:val="00456FE6"/>
    <w:rsid w:val="00457D9A"/>
    <w:rsid w:val="00461A05"/>
    <w:rsid w:val="0046219E"/>
    <w:rsid w:val="0046252D"/>
    <w:rsid w:val="00465EF9"/>
    <w:rsid w:val="0047527E"/>
    <w:rsid w:val="004834F5"/>
    <w:rsid w:val="00486F32"/>
    <w:rsid w:val="004900DB"/>
    <w:rsid w:val="00491808"/>
    <w:rsid w:val="004921E6"/>
    <w:rsid w:val="00496B53"/>
    <w:rsid w:val="004A129B"/>
    <w:rsid w:val="004A379F"/>
    <w:rsid w:val="004B1A24"/>
    <w:rsid w:val="004B54AC"/>
    <w:rsid w:val="004B6544"/>
    <w:rsid w:val="004C3605"/>
    <w:rsid w:val="004C3B98"/>
    <w:rsid w:val="004C5377"/>
    <w:rsid w:val="004C58D8"/>
    <w:rsid w:val="004D1477"/>
    <w:rsid w:val="004D175A"/>
    <w:rsid w:val="004D33A7"/>
    <w:rsid w:val="004E0D1E"/>
    <w:rsid w:val="004E1ABD"/>
    <w:rsid w:val="004E51D1"/>
    <w:rsid w:val="004E71FF"/>
    <w:rsid w:val="004E775C"/>
    <w:rsid w:val="004F391B"/>
    <w:rsid w:val="00503BB6"/>
    <w:rsid w:val="00504FA1"/>
    <w:rsid w:val="0050545F"/>
    <w:rsid w:val="00516380"/>
    <w:rsid w:val="005207B7"/>
    <w:rsid w:val="00522DE8"/>
    <w:rsid w:val="00523CAB"/>
    <w:rsid w:val="005275E6"/>
    <w:rsid w:val="005308BB"/>
    <w:rsid w:val="00533CB2"/>
    <w:rsid w:val="0053546C"/>
    <w:rsid w:val="005417B3"/>
    <w:rsid w:val="00541CDA"/>
    <w:rsid w:val="00547486"/>
    <w:rsid w:val="00550EFF"/>
    <w:rsid w:val="00556A0A"/>
    <w:rsid w:val="00557DBA"/>
    <w:rsid w:val="00561F1C"/>
    <w:rsid w:val="00562B64"/>
    <w:rsid w:val="005656E7"/>
    <w:rsid w:val="005717F4"/>
    <w:rsid w:val="00581A29"/>
    <w:rsid w:val="00585AFC"/>
    <w:rsid w:val="00585FA5"/>
    <w:rsid w:val="00586006"/>
    <w:rsid w:val="00586837"/>
    <w:rsid w:val="00590834"/>
    <w:rsid w:val="005957B2"/>
    <w:rsid w:val="005A16A5"/>
    <w:rsid w:val="005A1CC2"/>
    <w:rsid w:val="005A2E47"/>
    <w:rsid w:val="005A2EA3"/>
    <w:rsid w:val="005A53CA"/>
    <w:rsid w:val="005A7AD6"/>
    <w:rsid w:val="005B39A7"/>
    <w:rsid w:val="005B4FA2"/>
    <w:rsid w:val="005B59B7"/>
    <w:rsid w:val="005C16F0"/>
    <w:rsid w:val="005C423B"/>
    <w:rsid w:val="005C47BD"/>
    <w:rsid w:val="005C55FB"/>
    <w:rsid w:val="005C5973"/>
    <w:rsid w:val="005C64CE"/>
    <w:rsid w:val="005D52ED"/>
    <w:rsid w:val="005D6EB1"/>
    <w:rsid w:val="005D7098"/>
    <w:rsid w:val="005D7413"/>
    <w:rsid w:val="005E10B8"/>
    <w:rsid w:val="005E3343"/>
    <w:rsid w:val="005E4E9D"/>
    <w:rsid w:val="005E7402"/>
    <w:rsid w:val="005F3F33"/>
    <w:rsid w:val="005F42C5"/>
    <w:rsid w:val="005F4C9F"/>
    <w:rsid w:val="00600708"/>
    <w:rsid w:val="00600BCE"/>
    <w:rsid w:val="00601937"/>
    <w:rsid w:val="006032F2"/>
    <w:rsid w:val="00603A0D"/>
    <w:rsid w:val="00610AC8"/>
    <w:rsid w:val="006111AA"/>
    <w:rsid w:val="00611712"/>
    <w:rsid w:val="00612B4A"/>
    <w:rsid w:val="006140D0"/>
    <w:rsid w:val="006230A7"/>
    <w:rsid w:val="00623252"/>
    <w:rsid w:val="00631612"/>
    <w:rsid w:val="00635364"/>
    <w:rsid w:val="00636468"/>
    <w:rsid w:val="00637C62"/>
    <w:rsid w:val="00637F9A"/>
    <w:rsid w:val="00640C0B"/>
    <w:rsid w:val="00643075"/>
    <w:rsid w:val="0064464B"/>
    <w:rsid w:val="00645517"/>
    <w:rsid w:val="00646E0D"/>
    <w:rsid w:val="00647144"/>
    <w:rsid w:val="00647ADF"/>
    <w:rsid w:val="006501D8"/>
    <w:rsid w:val="0065066E"/>
    <w:rsid w:val="00651438"/>
    <w:rsid w:val="00652792"/>
    <w:rsid w:val="006534CF"/>
    <w:rsid w:val="00653DCC"/>
    <w:rsid w:val="00654199"/>
    <w:rsid w:val="006550B3"/>
    <w:rsid w:val="00665703"/>
    <w:rsid w:val="006676B9"/>
    <w:rsid w:val="006705FE"/>
    <w:rsid w:val="00674F1C"/>
    <w:rsid w:val="00677EFB"/>
    <w:rsid w:val="00680A73"/>
    <w:rsid w:val="006829A2"/>
    <w:rsid w:val="006856A7"/>
    <w:rsid w:val="00690AAF"/>
    <w:rsid w:val="0069159F"/>
    <w:rsid w:val="00692B07"/>
    <w:rsid w:val="00694024"/>
    <w:rsid w:val="00696981"/>
    <w:rsid w:val="006A3BFB"/>
    <w:rsid w:val="006A7F8F"/>
    <w:rsid w:val="006B2EC7"/>
    <w:rsid w:val="006B3CCF"/>
    <w:rsid w:val="006B3EFA"/>
    <w:rsid w:val="006B54D6"/>
    <w:rsid w:val="006B60E4"/>
    <w:rsid w:val="006C158D"/>
    <w:rsid w:val="006C1691"/>
    <w:rsid w:val="006C1E7E"/>
    <w:rsid w:val="006C3B7E"/>
    <w:rsid w:val="006C5838"/>
    <w:rsid w:val="006D186C"/>
    <w:rsid w:val="006D2CD0"/>
    <w:rsid w:val="006D312E"/>
    <w:rsid w:val="006D6AF2"/>
    <w:rsid w:val="006E2D76"/>
    <w:rsid w:val="006E3892"/>
    <w:rsid w:val="006E500B"/>
    <w:rsid w:val="006E7E7E"/>
    <w:rsid w:val="006F4A5B"/>
    <w:rsid w:val="006F6ABF"/>
    <w:rsid w:val="006F782D"/>
    <w:rsid w:val="006F7D78"/>
    <w:rsid w:val="0070095E"/>
    <w:rsid w:val="0070356D"/>
    <w:rsid w:val="007042B7"/>
    <w:rsid w:val="00706A06"/>
    <w:rsid w:val="0071468F"/>
    <w:rsid w:val="007168F0"/>
    <w:rsid w:val="00721E64"/>
    <w:rsid w:val="00721F4F"/>
    <w:rsid w:val="00723942"/>
    <w:rsid w:val="00727643"/>
    <w:rsid w:val="007301E9"/>
    <w:rsid w:val="00730C14"/>
    <w:rsid w:val="007314EF"/>
    <w:rsid w:val="0073556F"/>
    <w:rsid w:val="00740C0F"/>
    <w:rsid w:val="00741D3C"/>
    <w:rsid w:val="007429F7"/>
    <w:rsid w:val="00742A8D"/>
    <w:rsid w:val="00746A42"/>
    <w:rsid w:val="00746CCF"/>
    <w:rsid w:val="00750F40"/>
    <w:rsid w:val="0075474E"/>
    <w:rsid w:val="0075483B"/>
    <w:rsid w:val="0075587F"/>
    <w:rsid w:val="007724D1"/>
    <w:rsid w:val="00772BE3"/>
    <w:rsid w:val="007753F7"/>
    <w:rsid w:val="00775D6C"/>
    <w:rsid w:val="007768B0"/>
    <w:rsid w:val="0078092F"/>
    <w:rsid w:val="0078254A"/>
    <w:rsid w:val="007829E9"/>
    <w:rsid w:val="00785747"/>
    <w:rsid w:val="00785D65"/>
    <w:rsid w:val="00785DDF"/>
    <w:rsid w:val="0078790D"/>
    <w:rsid w:val="0079187F"/>
    <w:rsid w:val="00791CF0"/>
    <w:rsid w:val="0079332F"/>
    <w:rsid w:val="007A05DF"/>
    <w:rsid w:val="007A3602"/>
    <w:rsid w:val="007A7271"/>
    <w:rsid w:val="007A7487"/>
    <w:rsid w:val="007B03E7"/>
    <w:rsid w:val="007B2282"/>
    <w:rsid w:val="007B6206"/>
    <w:rsid w:val="007B6AAA"/>
    <w:rsid w:val="007B74E1"/>
    <w:rsid w:val="007B7546"/>
    <w:rsid w:val="007C0526"/>
    <w:rsid w:val="007C0910"/>
    <w:rsid w:val="007C198C"/>
    <w:rsid w:val="007C2532"/>
    <w:rsid w:val="007C2F2F"/>
    <w:rsid w:val="007C364A"/>
    <w:rsid w:val="007C3AE6"/>
    <w:rsid w:val="007D0BB7"/>
    <w:rsid w:val="007D3D17"/>
    <w:rsid w:val="007D7562"/>
    <w:rsid w:val="007E06C0"/>
    <w:rsid w:val="007E1147"/>
    <w:rsid w:val="007E124C"/>
    <w:rsid w:val="007E269D"/>
    <w:rsid w:val="007E379F"/>
    <w:rsid w:val="007F1D7B"/>
    <w:rsid w:val="007F2EA4"/>
    <w:rsid w:val="007F5F02"/>
    <w:rsid w:val="007F6F80"/>
    <w:rsid w:val="008005CE"/>
    <w:rsid w:val="008044C0"/>
    <w:rsid w:val="00807CF7"/>
    <w:rsid w:val="00811FA0"/>
    <w:rsid w:val="008121D2"/>
    <w:rsid w:val="00812A4A"/>
    <w:rsid w:val="00814588"/>
    <w:rsid w:val="00815813"/>
    <w:rsid w:val="00816028"/>
    <w:rsid w:val="00821488"/>
    <w:rsid w:val="00824E99"/>
    <w:rsid w:val="00825FC5"/>
    <w:rsid w:val="008306CC"/>
    <w:rsid w:val="00830FE1"/>
    <w:rsid w:val="00831204"/>
    <w:rsid w:val="00831521"/>
    <w:rsid w:val="008347D9"/>
    <w:rsid w:val="0083499A"/>
    <w:rsid w:val="00835E95"/>
    <w:rsid w:val="0083677A"/>
    <w:rsid w:val="00844254"/>
    <w:rsid w:val="00845FBE"/>
    <w:rsid w:val="008523D8"/>
    <w:rsid w:val="00852A24"/>
    <w:rsid w:val="00852C8E"/>
    <w:rsid w:val="008543D2"/>
    <w:rsid w:val="00861604"/>
    <w:rsid w:val="00863629"/>
    <w:rsid w:val="00866229"/>
    <w:rsid w:val="0087001B"/>
    <w:rsid w:val="00871C8E"/>
    <w:rsid w:val="008731E8"/>
    <w:rsid w:val="00873854"/>
    <w:rsid w:val="00874878"/>
    <w:rsid w:val="00874EA8"/>
    <w:rsid w:val="00876174"/>
    <w:rsid w:val="00876C2C"/>
    <w:rsid w:val="008824CC"/>
    <w:rsid w:val="008852C8"/>
    <w:rsid w:val="0088639D"/>
    <w:rsid w:val="00891FFA"/>
    <w:rsid w:val="00893339"/>
    <w:rsid w:val="00896434"/>
    <w:rsid w:val="00897556"/>
    <w:rsid w:val="0089780F"/>
    <w:rsid w:val="008A093C"/>
    <w:rsid w:val="008A0D88"/>
    <w:rsid w:val="008A540B"/>
    <w:rsid w:val="008A56A2"/>
    <w:rsid w:val="008B0CA8"/>
    <w:rsid w:val="008B2936"/>
    <w:rsid w:val="008B4295"/>
    <w:rsid w:val="008B48A8"/>
    <w:rsid w:val="008C5198"/>
    <w:rsid w:val="008C5577"/>
    <w:rsid w:val="008D2128"/>
    <w:rsid w:val="008D3217"/>
    <w:rsid w:val="008D4F8F"/>
    <w:rsid w:val="008E1517"/>
    <w:rsid w:val="008E2B30"/>
    <w:rsid w:val="008E363A"/>
    <w:rsid w:val="008E6BB3"/>
    <w:rsid w:val="008E6EC7"/>
    <w:rsid w:val="008E7E5A"/>
    <w:rsid w:val="008E7F55"/>
    <w:rsid w:val="008F25B4"/>
    <w:rsid w:val="008F3D2C"/>
    <w:rsid w:val="008F6885"/>
    <w:rsid w:val="008F733D"/>
    <w:rsid w:val="008F79E8"/>
    <w:rsid w:val="00901017"/>
    <w:rsid w:val="00911444"/>
    <w:rsid w:val="00912243"/>
    <w:rsid w:val="00913037"/>
    <w:rsid w:val="00914926"/>
    <w:rsid w:val="009158CB"/>
    <w:rsid w:val="00917550"/>
    <w:rsid w:val="00917E13"/>
    <w:rsid w:val="009249ED"/>
    <w:rsid w:val="0092538F"/>
    <w:rsid w:val="0092698E"/>
    <w:rsid w:val="00930E88"/>
    <w:rsid w:val="009349DC"/>
    <w:rsid w:val="00935045"/>
    <w:rsid w:val="00944407"/>
    <w:rsid w:val="00944A85"/>
    <w:rsid w:val="009464EA"/>
    <w:rsid w:val="0095027B"/>
    <w:rsid w:val="00950B9A"/>
    <w:rsid w:val="00951656"/>
    <w:rsid w:val="00951B7E"/>
    <w:rsid w:val="00953B6C"/>
    <w:rsid w:val="00955E7B"/>
    <w:rsid w:val="009570B6"/>
    <w:rsid w:val="0095789C"/>
    <w:rsid w:val="0096511D"/>
    <w:rsid w:val="009675E1"/>
    <w:rsid w:val="009719DE"/>
    <w:rsid w:val="0097584E"/>
    <w:rsid w:val="00982C42"/>
    <w:rsid w:val="00984CFF"/>
    <w:rsid w:val="009852C1"/>
    <w:rsid w:val="00986ACE"/>
    <w:rsid w:val="00986C27"/>
    <w:rsid w:val="00986C82"/>
    <w:rsid w:val="00993534"/>
    <w:rsid w:val="00996FCF"/>
    <w:rsid w:val="009A32E3"/>
    <w:rsid w:val="009A3E29"/>
    <w:rsid w:val="009A6B8A"/>
    <w:rsid w:val="009B12C4"/>
    <w:rsid w:val="009B2F74"/>
    <w:rsid w:val="009B4115"/>
    <w:rsid w:val="009B6825"/>
    <w:rsid w:val="009C4CA5"/>
    <w:rsid w:val="009C5E46"/>
    <w:rsid w:val="009D7244"/>
    <w:rsid w:val="009D7375"/>
    <w:rsid w:val="009E1581"/>
    <w:rsid w:val="009E25A6"/>
    <w:rsid w:val="009E2954"/>
    <w:rsid w:val="009E4D46"/>
    <w:rsid w:val="009E6FB5"/>
    <w:rsid w:val="009F24E6"/>
    <w:rsid w:val="009F2948"/>
    <w:rsid w:val="009F49C7"/>
    <w:rsid w:val="009F4E1A"/>
    <w:rsid w:val="009F7574"/>
    <w:rsid w:val="009F79AA"/>
    <w:rsid w:val="00A04307"/>
    <w:rsid w:val="00A06397"/>
    <w:rsid w:val="00A06F9A"/>
    <w:rsid w:val="00A109FC"/>
    <w:rsid w:val="00A14C3B"/>
    <w:rsid w:val="00A15ADC"/>
    <w:rsid w:val="00A200D1"/>
    <w:rsid w:val="00A21DFB"/>
    <w:rsid w:val="00A30764"/>
    <w:rsid w:val="00A3093F"/>
    <w:rsid w:val="00A3127A"/>
    <w:rsid w:val="00A32C07"/>
    <w:rsid w:val="00A432D4"/>
    <w:rsid w:val="00A4489A"/>
    <w:rsid w:val="00A4718B"/>
    <w:rsid w:val="00A51144"/>
    <w:rsid w:val="00A53B21"/>
    <w:rsid w:val="00A57D02"/>
    <w:rsid w:val="00A60BD1"/>
    <w:rsid w:val="00A62099"/>
    <w:rsid w:val="00A63DD7"/>
    <w:rsid w:val="00A6558E"/>
    <w:rsid w:val="00A66B5D"/>
    <w:rsid w:val="00A67404"/>
    <w:rsid w:val="00A675EA"/>
    <w:rsid w:val="00A7044C"/>
    <w:rsid w:val="00A740CF"/>
    <w:rsid w:val="00A7423D"/>
    <w:rsid w:val="00A77338"/>
    <w:rsid w:val="00A80F52"/>
    <w:rsid w:val="00A84A8E"/>
    <w:rsid w:val="00A858C9"/>
    <w:rsid w:val="00A86DAE"/>
    <w:rsid w:val="00A927F6"/>
    <w:rsid w:val="00A93755"/>
    <w:rsid w:val="00A93A32"/>
    <w:rsid w:val="00A949C5"/>
    <w:rsid w:val="00A9537F"/>
    <w:rsid w:val="00A957C1"/>
    <w:rsid w:val="00AA2C15"/>
    <w:rsid w:val="00AA3CCC"/>
    <w:rsid w:val="00AA402D"/>
    <w:rsid w:val="00AA56AE"/>
    <w:rsid w:val="00AB12E8"/>
    <w:rsid w:val="00AB7050"/>
    <w:rsid w:val="00AC10C4"/>
    <w:rsid w:val="00AD046E"/>
    <w:rsid w:val="00AD0C96"/>
    <w:rsid w:val="00AD14A4"/>
    <w:rsid w:val="00AD1F28"/>
    <w:rsid w:val="00AD3446"/>
    <w:rsid w:val="00AD4DB1"/>
    <w:rsid w:val="00AD7FE1"/>
    <w:rsid w:val="00AE18C1"/>
    <w:rsid w:val="00AE400B"/>
    <w:rsid w:val="00AE4ABC"/>
    <w:rsid w:val="00AE7ABC"/>
    <w:rsid w:val="00AF0D92"/>
    <w:rsid w:val="00AF2335"/>
    <w:rsid w:val="00AF3418"/>
    <w:rsid w:val="00AF3925"/>
    <w:rsid w:val="00AF4DA1"/>
    <w:rsid w:val="00AF5CF2"/>
    <w:rsid w:val="00AF6234"/>
    <w:rsid w:val="00B00C70"/>
    <w:rsid w:val="00B012D5"/>
    <w:rsid w:val="00B02442"/>
    <w:rsid w:val="00B0587C"/>
    <w:rsid w:val="00B16354"/>
    <w:rsid w:val="00B23765"/>
    <w:rsid w:val="00B30006"/>
    <w:rsid w:val="00B32B50"/>
    <w:rsid w:val="00B33B1E"/>
    <w:rsid w:val="00B33EB1"/>
    <w:rsid w:val="00B43E6E"/>
    <w:rsid w:val="00B44457"/>
    <w:rsid w:val="00B44E25"/>
    <w:rsid w:val="00B45130"/>
    <w:rsid w:val="00B46DA5"/>
    <w:rsid w:val="00B50EAD"/>
    <w:rsid w:val="00B51C48"/>
    <w:rsid w:val="00B54DC9"/>
    <w:rsid w:val="00B61061"/>
    <w:rsid w:val="00B667F9"/>
    <w:rsid w:val="00B72176"/>
    <w:rsid w:val="00B80A50"/>
    <w:rsid w:val="00B853EE"/>
    <w:rsid w:val="00B85FED"/>
    <w:rsid w:val="00B90510"/>
    <w:rsid w:val="00B97D75"/>
    <w:rsid w:val="00BA0984"/>
    <w:rsid w:val="00BA09A1"/>
    <w:rsid w:val="00BA0AB7"/>
    <w:rsid w:val="00BA173E"/>
    <w:rsid w:val="00BA1850"/>
    <w:rsid w:val="00BB03F9"/>
    <w:rsid w:val="00BB233A"/>
    <w:rsid w:val="00BC2A7C"/>
    <w:rsid w:val="00BC5E86"/>
    <w:rsid w:val="00BC6BEC"/>
    <w:rsid w:val="00BD09FF"/>
    <w:rsid w:val="00BD1F42"/>
    <w:rsid w:val="00BD2C5B"/>
    <w:rsid w:val="00BD4D8C"/>
    <w:rsid w:val="00BD53EA"/>
    <w:rsid w:val="00BE0FBA"/>
    <w:rsid w:val="00BE10FD"/>
    <w:rsid w:val="00BE38AA"/>
    <w:rsid w:val="00BE3F9E"/>
    <w:rsid w:val="00BE4069"/>
    <w:rsid w:val="00BE6503"/>
    <w:rsid w:val="00BF1B37"/>
    <w:rsid w:val="00BF22E3"/>
    <w:rsid w:val="00BF396F"/>
    <w:rsid w:val="00BF48A1"/>
    <w:rsid w:val="00C03863"/>
    <w:rsid w:val="00C06438"/>
    <w:rsid w:val="00C07130"/>
    <w:rsid w:val="00C1440D"/>
    <w:rsid w:val="00C14AA9"/>
    <w:rsid w:val="00C14D48"/>
    <w:rsid w:val="00C158D5"/>
    <w:rsid w:val="00C163F2"/>
    <w:rsid w:val="00C2061F"/>
    <w:rsid w:val="00C2319B"/>
    <w:rsid w:val="00C23B02"/>
    <w:rsid w:val="00C259A7"/>
    <w:rsid w:val="00C261A8"/>
    <w:rsid w:val="00C26BAF"/>
    <w:rsid w:val="00C27CC2"/>
    <w:rsid w:val="00C34D42"/>
    <w:rsid w:val="00C35B5A"/>
    <w:rsid w:val="00C40CB1"/>
    <w:rsid w:val="00C4191F"/>
    <w:rsid w:val="00C41E96"/>
    <w:rsid w:val="00C45A8E"/>
    <w:rsid w:val="00C45B3B"/>
    <w:rsid w:val="00C50E44"/>
    <w:rsid w:val="00C52D6B"/>
    <w:rsid w:val="00C55D6C"/>
    <w:rsid w:val="00C571B3"/>
    <w:rsid w:val="00C573A4"/>
    <w:rsid w:val="00C577E6"/>
    <w:rsid w:val="00C61C7D"/>
    <w:rsid w:val="00C66EE9"/>
    <w:rsid w:val="00C67329"/>
    <w:rsid w:val="00C6798E"/>
    <w:rsid w:val="00C7276F"/>
    <w:rsid w:val="00C76F69"/>
    <w:rsid w:val="00C77F13"/>
    <w:rsid w:val="00C80692"/>
    <w:rsid w:val="00C81A31"/>
    <w:rsid w:val="00C82318"/>
    <w:rsid w:val="00C863F5"/>
    <w:rsid w:val="00C9108B"/>
    <w:rsid w:val="00C91B6A"/>
    <w:rsid w:val="00C91D48"/>
    <w:rsid w:val="00C92F81"/>
    <w:rsid w:val="00C95CD4"/>
    <w:rsid w:val="00CA36C5"/>
    <w:rsid w:val="00CA690D"/>
    <w:rsid w:val="00CA6C8A"/>
    <w:rsid w:val="00CB1B63"/>
    <w:rsid w:val="00CB4AB3"/>
    <w:rsid w:val="00CB59C3"/>
    <w:rsid w:val="00CC0DDC"/>
    <w:rsid w:val="00CC15CC"/>
    <w:rsid w:val="00CC2B5A"/>
    <w:rsid w:val="00CC3915"/>
    <w:rsid w:val="00CC6A3C"/>
    <w:rsid w:val="00CD1C9B"/>
    <w:rsid w:val="00CD6046"/>
    <w:rsid w:val="00CD62B6"/>
    <w:rsid w:val="00CD778C"/>
    <w:rsid w:val="00CE0819"/>
    <w:rsid w:val="00CE133E"/>
    <w:rsid w:val="00CE2FEF"/>
    <w:rsid w:val="00CE4B87"/>
    <w:rsid w:val="00CE66B9"/>
    <w:rsid w:val="00CF158E"/>
    <w:rsid w:val="00CF3813"/>
    <w:rsid w:val="00CF3C3F"/>
    <w:rsid w:val="00CF56E2"/>
    <w:rsid w:val="00CF60B2"/>
    <w:rsid w:val="00CF6718"/>
    <w:rsid w:val="00CF6B32"/>
    <w:rsid w:val="00CF72F4"/>
    <w:rsid w:val="00D01053"/>
    <w:rsid w:val="00D03ACA"/>
    <w:rsid w:val="00D11BC1"/>
    <w:rsid w:val="00D146E1"/>
    <w:rsid w:val="00D27579"/>
    <w:rsid w:val="00D27683"/>
    <w:rsid w:val="00D30518"/>
    <w:rsid w:val="00D3206D"/>
    <w:rsid w:val="00D375C0"/>
    <w:rsid w:val="00D40089"/>
    <w:rsid w:val="00D4251F"/>
    <w:rsid w:val="00D433DF"/>
    <w:rsid w:val="00D51B4B"/>
    <w:rsid w:val="00D57B99"/>
    <w:rsid w:val="00D63140"/>
    <w:rsid w:val="00D635F5"/>
    <w:rsid w:val="00D64977"/>
    <w:rsid w:val="00D64DB6"/>
    <w:rsid w:val="00D64EA9"/>
    <w:rsid w:val="00D66B01"/>
    <w:rsid w:val="00D66E43"/>
    <w:rsid w:val="00D674AE"/>
    <w:rsid w:val="00D67F0C"/>
    <w:rsid w:val="00D92C7C"/>
    <w:rsid w:val="00D938CE"/>
    <w:rsid w:val="00D94FBD"/>
    <w:rsid w:val="00D9565A"/>
    <w:rsid w:val="00DA07F4"/>
    <w:rsid w:val="00DA1E23"/>
    <w:rsid w:val="00DA7146"/>
    <w:rsid w:val="00DB5CBF"/>
    <w:rsid w:val="00DB6EAC"/>
    <w:rsid w:val="00DB74BE"/>
    <w:rsid w:val="00DC0F21"/>
    <w:rsid w:val="00DC3206"/>
    <w:rsid w:val="00DD28A9"/>
    <w:rsid w:val="00DD4504"/>
    <w:rsid w:val="00DD5A7F"/>
    <w:rsid w:val="00DD7EB6"/>
    <w:rsid w:val="00DE324F"/>
    <w:rsid w:val="00DE48E3"/>
    <w:rsid w:val="00DE4917"/>
    <w:rsid w:val="00DE4A99"/>
    <w:rsid w:val="00DE6938"/>
    <w:rsid w:val="00DE7630"/>
    <w:rsid w:val="00DE7A20"/>
    <w:rsid w:val="00DE7A8C"/>
    <w:rsid w:val="00DE7D5F"/>
    <w:rsid w:val="00DF2836"/>
    <w:rsid w:val="00DF54FE"/>
    <w:rsid w:val="00DF5E45"/>
    <w:rsid w:val="00DF6087"/>
    <w:rsid w:val="00E0023B"/>
    <w:rsid w:val="00E003C9"/>
    <w:rsid w:val="00E015A3"/>
    <w:rsid w:val="00E02618"/>
    <w:rsid w:val="00E0408F"/>
    <w:rsid w:val="00E17A66"/>
    <w:rsid w:val="00E20526"/>
    <w:rsid w:val="00E20603"/>
    <w:rsid w:val="00E22D94"/>
    <w:rsid w:val="00E2328D"/>
    <w:rsid w:val="00E23574"/>
    <w:rsid w:val="00E271B9"/>
    <w:rsid w:val="00E27AC2"/>
    <w:rsid w:val="00E30C8C"/>
    <w:rsid w:val="00E335DF"/>
    <w:rsid w:val="00E35563"/>
    <w:rsid w:val="00E35A17"/>
    <w:rsid w:val="00E37725"/>
    <w:rsid w:val="00E41C42"/>
    <w:rsid w:val="00E427D8"/>
    <w:rsid w:val="00E42CDF"/>
    <w:rsid w:val="00E50C43"/>
    <w:rsid w:val="00E51E85"/>
    <w:rsid w:val="00E5207E"/>
    <w:rsid w:val="00E5394A"/>
    <w:rsid w:val="00E5640E"/>
    <w:rsid w:val="00E5659F"/>
    <w:rsid w:val="00E56C05"/>
    <w:rsid w:val="00E56F27"/>
    <w:rsid w:val="00E62354"/>
    <w:rsid w:val="00E6376E"/>
    <w:rsid w:val="00E64C52"/>
    <w:rsid w:val="00E66D1F"/>
    <w:rsid w:val="00E67223"/>
    <w:rsid w:val="00E67376"/>
    <w:rsid w:val="00E6774E"/>
    <w:rsid w:val="00E7163F"/>
    <w:rsid w:val="00E71A83"/>
    <w:rsid w:val="00E82493"/>
    <w:rsid w:val="00E84011"/>
    <w:rsid w:val="00E84532"/>
    <w:rsid w:val="00E85257"/>
    <w:rsid w:val="00E852D8"/>
    <w:rsid w:val="00E91ED3"/>
    <w:rsid w:val="00E9322B"/>
    <w:rsid w:val="00E93328"/>
    <w:rsid w:val="00E9451F"/>
    <w:rsid w:val="00E9460D"/>
    <w:rsid w:val="00E95B41"/>
    <w:rsid w:val="00E971AF"/>
    <w:rsid w:val="00EA15AE"/>
    <w:rsid w:val="00EA3E9E"/>
    <w:rsid w:val="00EA7D29"/>
    <w:rsid w:val="00EB00F8"/>
    <w:rsid w:val="00EB437C"/>
    <w:rsid w:val="00EB4FA1"/>
    <w:rsid w:val="00EB50C4"/>
    <w:rsid w:val="00EC7013"/>
    <w:rsid w:val="00ED0968"/>
    <w:rsid w:val="00ED2376"/>
    <w:rsid w:val="00EE1D9C"/>
    <w:rsid w:val="00EE2543"/>
    <w:rsid w:val="00EE3A88"/>
    <w:rsid w:val="00EE3E27"/>
    <w:rsid w:val="00EE4BA9"/>
    <w:rsid w:val="00EE5E83"/>
    <w:rsid w:val="00EE5EB0"/>
    <w:rsid w:val="00EF19F5"/>
    <w:rsid w:val="00EF51AE"/>
    <w:rsid w:val="00EF6D74"/>
    <w:rsid w:val="00EF71DD"/>
    <w:rsid w:val="00F00FE7"/>
    <w:rsid w:val="00F02C90"/>
    <w:rsid w:val="00F02D1D"/>
    <w:rsid w:val="00F03443"/>
    <w:rsid w:val="00F06BBD"/>
    <w:rsid w:val="00F102F0"/>
    <w:rsid w:val="00F10ACE"/>
    <w:rsid w:val="00F204D3"/>
    <w:rsid w:val="00F23ECD"/>
    <w:rsid w:val="00F24035"/>
    <w:rsid w:val="00F24FC6"/>
    <w:rsid w:val="00F269B7"/>
    <w:rsid w:val="00F3175D"/>
    <w:rsid w:val="00F320FE"/>
    <w:rsid w:val="00F35E09"/>
    <w:rsid w:val="00F36E6E"/>
    <w:rsid w:val="00F36F19"/>
    <w:rsid w:val="00F36FE2"/>
    <w:rsid w:val="00F370BE"/>
    <w:rsid w:val="00F422BE"/>
    <w:rsid w:val="00F4540C"/>
    <w:rsid w:val="00F5023A"/>
    <w:rsid w:val="00F5045A"/>
    <w:rsid w:val="00F50C2A"/>
    <w:rsid w:val="00F53CC3"/>
    <w:rsid w:val="00F54160"/>
    <w:rsid w:val="00F54543"/>
    <w:rsid w:val="00F6415F"/>
    <w:rsid w:val="00F64183"/>
    <w:rsid w:val="00F70121"/>
    <w:rsid w:val="00F721F3"/>
    <w:rsid w:val="00F72447"/>
    <w:rsid w:val="00F72C04"/>
    <w:rsid w:val="00F73857"/>
    <w:rsid w:val="00F74DFA"/>
    <w:rsid w:val="00F76258"/>
    <w:rsid w:val="00F7628C"/>
    <w:rsid w:val="00F76696"/>
    <w:rsid w:val="00F77A11"/>
    <w:rsid w:val="00F77D81"/>
    <w:rsid w:val="00F80535"/>
    <w:rsid w:val="00F81325"/>
    <w:rsid w:val="00F821A1"/>
    <w:rsid w:val="00F85C8C"/>
    <w:rsid w:val="00F867C8"/>
    <w:rsid w:val="00F91289"/>
    <w:rsid w:val="00F91F7B"/>
    <w:rsid w:val="00F92753"/>
    <w:rsid w:val="00F977E8"/>
    <w:rsid w:val="00FA1419"/>
    <w:rsid w:val="00FA504A"/>
    <w:rsid w:val="00FB0878"/>
    <w:rsid w:val="00FB09E4"/>
    <w:rsid w:val="00FB21E9"/>
    <w:rsid w:val="00FB2FE9"/>
    <w:rsid w:val="00FB6821"/>
    <w:rsid w:val="00FB6FA0"/>
    <w:rsid w:val="00FC24F6"/>
    <w:rsid w:val="00FC6AE5"/>
    <w:rsid w:val="00FD597F"/>
    <w:rsid w:val="00FD6702"/>
    <w:rsid w:val="00FE07BA"/>
    <w:rsid w:val="00FE3C27"/>
    <w:rsid w:val="00FF18B7"/>
    <w:rsid w:val="00FF264E"/>
    <w:rsid w:val="00FF44A7"/>
    <w:rsid w:val="00FF6B21"/>
    <w:rsid w:val="5204C2DC"/>
    <w:rsid w:val="5D13E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C3C6"/>
  <w15:docId w15:val="{34162D0F-A3DE-4EC6-A797-38BF0F05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BAF"/>
    <w:pPr>
      <w:spacing w:after="0"/>
      <w:jc w:val="both"/>
    </w:pPr>
  </w:style>
  <w:style w:type="paragraph" w:styleId="Heading1">
    <w:name w:val="heading 1"/>
    <w:aliases w:val="Section Heading,Paragraph No,Oscar Faber 1,h1,A MAJOR/BOLD,Schedheading,Heading 1(Report Only),h1 chapter heading,H1,Attribute Heading 1,Roman 14 B Heading,Roman 14 B Heading1,Roman 14 B Heading2,Roman 14 B Heading11,new page/chapter"/>
    <w:next w:val="Body1"/>
    <w:link w:val="Heading1Char"/>
    <w:uiPriority w:val="1"/>
    <w:qFormat/>
    <w:rsid w:val="00334F1A"/>
    <w:pPr>
      <w:keepNext/>
      <w:jc w:val="both"/>
      <w:outlineLvl w:val="0"/>
    </w:pPr>
    <w:rPr>
      <w:rFonts w:eastAsia="Times New Roman" w:cs="Times New Roman"/>
      <w:b/>
      <w:color w:val="000000" w:themeColor="text1"/>
      <w:lang w:eastAsia="en-GB"/>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link w:val="Heading2Char"/>
    <w:uiPriority w:val="1"/>
    <w:qFormat/>
    <w:rsid w:val="00334F1A"/>
    <w:pPr>
      <w:numPr>
        <w:ilvl w:val="1"/>
        <w:numId w:val="4"/>
      </w:numPr>
      <w:jc w:val="both"/>
      <w:outlineLvl w:val="1"/>
    </w:pPr>
    <w:rPr>
      <w:rFonts w:eastAsia="Times New Roman" w:cs="Times New Roman"/>
      <w:color w:val="000000" w:themeColor="text1"/>
      <w:lang w:eastAsia="en-GB"/>
    </w:rPr>
  </w:style>
  <w:style w:type="paragraph" w:styleId="Heading3">
    <w:name w:val="heading 3"/>
    <w:aliases w:val="MCheading3"/>
    <w:link w:val="Heading3Char"/>
    <w:uiPriority w:val="1"/>
    <w:qFormat/>
    <w:rsid w:val="00334F1A"/>
    <w:pPr>
      <w:numPr>
        <w:ilvl w:val="2"/>
        <w:numId w:val="4"/>
      </w:numPr>
      <w:jc w:val="both"/>
      <w:outlineLvl w:val="2"/>
    </w:pPr>
    <w:rPr>
      <w:rFonts w:eastAsia="Times New Roman" w:cs="Times New Roman"/>
      <w:color w:val="000000" w:themeColor="text1"/>
      <w:lang w:eastAsia="en-GB"/>
    </w:rPr>
  </w:style>
  <w:style w:type="paragraph" w:styleId="Heading4">
    <w:name w:val="heading 4"/>
    <w:aliases w:val="MCheadin4"/>
    <w:link w:val="Heading4Char"/>
    <w:uiPriority w:val="1"/>
    <w:qFormat/>
    <w:rsid w:val="00334F1A"/>
    <w:pPr>
      <w:numPr>
        <w:ilvl w:val="3"/>
        <w:numId w:val="4"/>
      </w:numPr>
      <w:jc w:val="both"/>
      <w:outlineLvl w:val="3"/>
    </w:pPr>
    <w:rPr>
      <w:rFonts w:eastAsia="Times New Roman" w:cs="Times New Roman"/>
      <w:color w:val="000000" w:themeColor="text1"/>
      <w:lang w:eastAsia="en-GB"/>
    </w:rPr>
  </w:style>
  <w:style w:type="paragraph" w:styleId="Heading5">
    <w:name w:val="heading 5"/>
    <w:link w:val="Heading5Char"/>
    <w:uiPriority w:val="1"/>
    <w:qFormat/>
    <w:rsid w:val="00334F1A"/>
    <w:pPr>
      <w:numPr>
        <w:ilvl w:val="4"/>
        <w:numId w:val="4"/>
      </w:numPr>
      <w:jc w:val="both"/>
      <w:outlineLvl w:val="4"/>
    </w:pPr>
    <w:rPr>
      <w:rFonts w:eastAsia="Times New Roman" w:cs="Times New Roman"/>
      <w:color w:val="000000" w:themeColor="text1"/>
      <w:lang w:eastAsia="en-GB"/>
    </w:rPr>
  </w:style>
  <w:style w:type="paragraph" w:styleId="Heading6">
    <w:name w:val="heading 6"/>
    <w:link w:val="Heading6Char"/>
    <w:uiPriority w:val="1"/>
    <w:qFormat/>
    <w:rsid w:val="00334F1A"/>
    <w:pPr>
      <w:numPr>
        <w:ilvl w:val="5"/>
        <w:numId w:val="4"/>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outlineLvl w:val="6"/>
    </w:pPr>
  </w:style>
  <w:style w:type="paragraph" w:styleId="Heading8">
    <w:name w:val="heading 8"/>
    <w:basedOn w:val="Normal"/>
    <w:next w:val="Normal"/>
    <w:link w:val="Heading8Char"/>
    <w:uiPriority w:val="99"/>
    <w:semiHidden/>
    <w:qFormat/>
    <w:rsid w:val="00017AD9"/>
    <w:pPr>
      <w:outlineLvl w:val="7"/>
    </w:pPr>
  </w:style>
  <w:style w:type="paragraph" w:styleId="Heading9">
    <w:name w:val="heading 9"/>
    <w:basedOn w:val="Normal"/>
    <w:next w:val="Normal"/>
    <w:link w:val="Heading9Char"/>
    <w:uiPriority w:val="99"/>
    <w:semiHidden/>
    <w:qFormat/>
    <w:rsid w:val="00017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99"/>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99"/>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Section Heading Char,Paragraph No Char,Oscar Faber 1 Char,h1 Char,A MAJOR/BOLD Char,Schedheading Char,Heading 1(Report Only) Char,h1 chapter heading Char,H1 Char,Attribute Heading 1 Char,Roman 14 B Heading Char,Roman 14 B Heading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MCheading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MCheadin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7"/>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7"/>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7"/>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7"/>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7"/>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7"/>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7"/>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5"/>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6"/>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7"/>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9"/>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qFormat/>
    <w:rsid w:val="005B59B7"/>
    <w:pPr>
      <w:tabs>
        <w:tab w:val="left" w:pos="1418"/>
        <w:tab w:val="right" w:leader="dot" w:pos="9061"/>
      </w:tabs>
      <w:spacing w:after="0" w:line="480" w:lineRule="auto"/>
      <w:ind w:left="567" w:hanging="567"/>
    </w:pPr>
    <w:rPr>
      <w:rFonts w:eastAsia="Times New Roman" w:cs="Times New Roman"/>
      <w:b/>
      <w:color w:val="000000" w:themeColor="text1"/>
      <w:lang w:eastAsia="en-GB"/>
    </w:rPr>
  </w:style>
  <w:style w:type="paragraph" w:styleId="TOC2">
    <w:name w:val="toc 2"/>
    <w:next w:val="Normal"/>
    <w:autoRedefine/>
    <w:uiPriority w:val="39"/>
    <w:qFormat/>
    <w:rsid w:val="00830FE1"/>
    <w:pPr>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0"/>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8"/>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9"/>
      </w:numPr>
      <w:jc w:val="center"/>
    </w:pPr>
    <w:rPr>
      <w:b/>
    </w:rPr>
  </w:style>
  <w:style w:type="paragraph" w:customStyle="1" w:styleId="AnnexureHeadingSingle">
    <w:name w:val="Annexure Heading Single"/>
    <w:next w:val="Body"/>
    <w:qFormat/>
    <w:rsid w:val="00BD09FF"/>
    <w:pPr>
      <w:pageBreakBefore/>
      <w:numPr>
        <w:numId w:val="10"/>
      </w:numPr>
      <w:jc w:val="center"/>
    </w:pPr>
    <w:rPr>
      <w:b/>
      <w:color w:val="000000" w:themeColor="text1"/>
    </w:rPr>
  </w:style>
  <w:style w:type="paragraph" w:styleId="TOC3">
    <w:name w:val="toc 3"/>
    <w:basedOn w:val="Normal"/>
    <w:next w:val="Normal"/>
    <w:autoRedefine/>
    <w:uiPriority w:val="39"/>
    <w:unhideWhenUsed/>
    <w:qFormat/>
    <w:rsid w:val="007B2282"/>
    <w:pPr>
      <w:spacing w:after="100"/>
      <w:ind w:left="400"/>
      <w:jc w:val="left"/>
    </w:pPr>
  </w:style>
  <w:style w:type="paragraph" w:styleId="TOC4">
    <w:name w:val="toc 4"/>
    <w:basedOn w:val="Normal"/>
    <w:next w:val="Normal"/>
    <w:autoRedefine/>
    <w:uiPriority w:val="39"/>
    <w:unhideWhenUsed/>
    <w:rsid w:val="007B2282"/>
    <w:pPr>
      <w:spacing w:after="100"/>
      <w:ind w:left="600"/>
      <w:jc w:val="left"/>
    </w:pPr>
  </w:style>
  <w:style w:type="paragraph" w:styleId="TOC5">
    <w:name w:val="toc 5"/>
    <w:basedOn w:val="Normal"/>
    <w:next w:val="Normal"/>
    <w:autoRedefine/>
    <w:uiPriority w:val="39"/>
    <w:unhideWhenUsed/>
    <w:rsid w:val="007B2282"/>
    <w:pPr>
      <w:spacing w:after="100"/>
      <w:ind w:left="800"/>
      <w:jc w:val="left"/>
    </w:pPr>
  </w:style>
  <w:style w:type="paragraph" w:styleId="TOC6">
    <w:name w:val="toc 6"/>
    <w:basedOn w:val="Normal"/>
    <w:next w:val="Normal"/>
    <w:autoRedefine/>
    <w:uiPriority w:val="39"/>
    <w:unhideWhenUsed/>
    <w:rsid w:val="007B2282"/>
    <w:pPr>
      <w:spacing w:after="100"/>
      <w:ind w:left="1000"/>
      <w:jc w:val="left"/>
    </w:pPr>
  </w:style>
  <w:style w:type="paragraph" w:styleId="TOC7">
    <w:name w:val="toc 7"/>
    <w:basedOn w:val="Normal"/>
    <w:next w:val="Normal"/>
    <w:autoRedefine/>
    <w:uiPriority w:val="39"/>
    <w:unhideWhenUsed/>
    <w:rsid w:val="007B2282"/>
    <w:pPr>
      <w:spacing w:after="100"/>
      <w:ind w:left="1200"/>
      <w:jc w:val="left"/>
    </w:pPr>
  </w:style>
  <w:style w:type="paragraph" w:styleId="TOC8">
    <w:name w:val="toc 8"/>
    <w:basedOn w:val="Normal"/>
    <w:next w:val="Normal"/>
    <w:autoRedefine/>
    <w:uiPriority w:val="39"/>
    <w:unhideWhenUsed/>
    <w:rsid w:val="007B2282"/>
    <w:pPr>
      <w:spacing w:after="100"/>
      <w:ind w:left="1400"/>
      <w:jc w:val="left"/>
    </w:pPr>
  </w:style>
  <w:style w:type="paragraph" w:styleId="TOC9">
    <w:name w:val="toc 9"/>
    <w:basedOn w:val="Normal"/>
    <w:next w:val="Normal"/>
    <w:autoRedefine/>
    <w:uiPriority w:val="39"/>
    <w:unhideWhenUsed/>
    <w:rsid w:val="007B2282"/>
    <w:pPr>
      <w:spacing w:after="100"/>
      <w:ind w:left="1600"/>
      <w:jc w:val="left"/>
    </w:pPr>
  </w:style>
  <w:style w:type="paragraph" w:styleId="TOCHeading">
    <w:name w:val="TOC Heading"/>
    <w:basedOn w:val="Heading1"/>
    <w:next w:val="Normal"/>
    <w:uiPriority w:val="39"/>
    <w:semiHidden/>
    <w:unhideWhenUsed/>
    <w:qFormat/>
    <w:rsid w:val="00557DBA"/>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paragraph" w:customStyle="1" w:styleId="LeftSide">
    <w:name w:val="LeftSide"/>
    <w:basedOn w:val="Normal"/>
    <w:link w:val="LeftSideChar"/>
    <w:rsid w:val="00184371"/>
    <w:pPr>
      <w:spacing w:before="60" w:after="60"/>
    </w:pPr>
    <w:rPr>
      <w:rFonts w:eastAsia="Times New Roman" w:cs="Arial"/>
      <w:sz w:val="22"/>
    </w:rPr>
  </w:style>
  <w:style w:type="character" w:customStyle="1" w:styleId="LeftSideChar">
    <w:name w:val="LeftSide Char"/>
    <w:link w:val="LeftSide"/>
    <w:rsid w:val="00184371"/>
    <w:rPr>
      <w:rFonts w:eastAsia="Times New Roman" w:cs="Arial"/>
      <w:sz w:val="22"/>
    </w:rPr>
  </w:style>
  <w:style w:type="paragraph" w:styleId="NormalWeb">
    <w:name w:val="Normal (Web)"/>
    <w:basedOn w:val="Normal"/>
    <w:uiPriority w:val="99"/>
    <w:unhideWhenUsed/>
    <w:rsid w:val="0095165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7725"/>
    <w:rPr>
      <w:i/>
      <w:iCs/>
    </w:rPr>
  </w:style>
  <w:style w:type="character" w:styleId="Strong">
    <w:name w:val="Strong"/>
    <w:basedOn w:val="DefaultParagraphFont"/>
    <w:uiPriority w:val="22"/>
    <w:qFormat/>
    <w:rsid w:val="009852C1"/>
    <w:rPr>
      <w:b/>
      <w:bCs/>
    </w:rPr>
  </w:style>
  <w:style w:type="paragraph" w:customStyle="1" w:styleId="ONEH1">
    <w:name w:val="ONE_H1"/>
    <w:basedOn w:val="Normal"/>
    <w:next w:val="Normal"/>
    <w:autoRedefine/>
    <w:rsid w:val="003E3EE7"/>
    <w:pPr>
      <w:keepNext/>
      <w:numPr>
        <w:numId w:val="11"/>
      </w:numPr>
      <w:tabs>
        <w:tab w:val="clear" w:pos="360"/>
        <w:tab w:val="num" w:pos="709"/>
      </w:tabs>
      <w:spacing w:before="120" w:after="120"/>
      <w:ind w:left="709" w:hanging="709"/>
      <w:jc w:val="left"/>
    </w:pPr>
    <w:rPr>
      <w:rFonts w:ascii="Arial Bold" w:eastAsia="Times New Roman" w:hAnsi="Arial Bold" w:cs="Arial"/>
      <w:b/>
      <w:smallCaps/>
      <w:sz w:val="28"/>
      <w:szCs w:val="28"/>
    </w:rPr>
  </w:style>
  <w:style w:type="paragraph" w:customStyle="1" w:styleId="ONEH2">
    <w:name w:val="ONE_H2"/>
    <w:basedOn w:val="Normal"/>
    <w:autoRedefine/>
    <w:rsid w:val="00CC6A3C"/>
    <w:pPr>
      <w:spacing w:before="60" w:after="60"/>
      <w:ind w:left="851" w:hanging="1"/>
    </w:pPr>
    <w:rPr>
      <w:rFonts w:eastAsia="Times New Roman" w:cs="Arial"/>
    </w:rPr>
  </w:style>
  <w:style w:type="paragraph" w:customStyle="1" w:styleId="ONEH3">
    <w:name w:val="ONE_H3"/>
    <w:basedOn w:val="Normal"/>
    <w:autoRedefine/>
    <w:rsid w:val="001039C4"/>
    <w:pPr>
      <w:spacing w:before="60" w:after="60"/>
      <w:jc w:val="left"/>
    </w:pPr>
    <w:rPr>
      <w:rFonts w:eastAsia="Times New Roman" w:cs="Arial"/>
      <w:i/>
      <w:color w:val="808080" w:themeColor="background1" w:themeShade="80"/>
    </w:rPr>
  </w:style>
  <w:style w:type="character" w:customStyle="1" w:styleId="printlink1">
    <w:name w:val="printlink1"/>
    <w:basedOn w:val="DefaultParagraphFont"/>
    <w:rsid w:val="00504FA1"/>
    <w:rPr>
      <w:vanish/>
      <w:webHidden w:val="0"/>
      <w:specVanish w:val="0"/>
    </w:rPr>
  </w:style>
  <w:style w:type="paragraph" w:customStyle="1" w:styleId="StyleSectionXBottomSinglesolidlineAuto05ptLinewi1">
    <w:name w:val="Style Section X + Bottom: (Single solid line Auto  0.5 pt Line wi...1"/>
    <w:basedOn w:val="Normal"/>
    <w:autoRedefine/>
    <w:rsid w:val="001664D9"/>
    <w:pPr>
      <w:pageBreakBefore/>
      <w:numPr>
        <w:numId w:val="12"/>
      </w:numPr>
      <w:pBdr>
        <w:bottom w:val="single" w:sz="4" w:space="0" w:color="auto"/>
      </w:pBdr>
      <w:tabs>
        <w:tab w:val="left" w:pos="2552"/>
      </w:tabs>
      <w:jc w:val="left"/>
    </w:pPr>
    <w:rPr>
      <w:rFonts w:eastAsia="Times New Roman" w:cs="Arial"/>
      <w:b/>
      <w:color w:val="009966"/>
      <w:sz w:val="32"/>
      <w:szCs w:val="32"/>
    </w:rPr>
  </w:style>
  <w:style w:type="paragraph" w:customStyle="1" w:styleId="10">
    <w:name w:val="10"/>
    <w:basedOn w:val="Normal"/>
    <w:rsid w:val="00491808"/>
    <w:pPr>
      <w:numPr>
        <w:ilvl w:val="6"/>
        <w:numId w:val="13"/>
      </w:numPr>
      <w:tabs>
        <w:tab w:val="clear" w:pos="4252"/>
        <w:tab w:val="num" w:pos="0"/>
      </w:tabs>
      <w:spacing w:after="240"/>
      <w:ind w:left="0" w:firstLine="0"/>
    </w:pPr>
    <w:rPr>
      <w:rFonts w:eastAsia="Times New Roman" w:cs="Arial"/>
      <w:i/>
      <w:sz w:val="22"/>
      <w:szCs w:val="22"/>
    </w:rPr>
  </w:style>
  <w:style w:type="paragraph" w:customStyle="1" w:styleId="Indented">
    <w:name w:val="Indented"/>
    <w:basedOn w:val="Normal"/>
    <w:rsid w:val="00491808"/>
    <w:pPr>
      <w:ind w:left="851"/>
      <w:jc w:val="left"/>
    </w:pPr>
    <w:rPr>
      <w:rFonts w:eastAsia="Times New Roman" w:cs="Arial"/>
      <w:sz w:val="22"/>
    </w:rPr>
  </w:style>
  <w:style w:type="paragraph" w:customStyle="1" w:styleId="SIXH1">
    <w:name w:val="SIX_H1"/>
    <w:basedOn w:val="Normal"/>
    <w:next w:val="Normal"/>
    <w:autoRedefine/>
    <w:rsid w:val="00BF48A1"/>
    <w:pPr>
      <w:keepNext/>
      <w:numPr>
        <w:numId w:val="14"/>
      </w:numPr>
      <w:spacing w:before="120" w:after="120"/>
    </w:pPr>
    <w:rPr>
      <w:rFonts w:ascii="Arial Bold" w:eastAsia="Times New Roman" w:hAnsi="Arial Bold" w:cs="Arial"/>
      <w:b/>
      <w:bCs/>
      <w:smallCaps/>
      <w:sz w:val="28"/>
      <w:szCs w:val="28"/>
    </w:rPr>
  </w:style>
  <w:style w:type="paragraph" w:customStyle="1" w:styleId="SIXH2">
    <w:name w:val="SIX_H2"/>
    <w:basedOn w:val="Normal"/>
    <w:rsid w:val="00BF48A1"/>
    <w:pPr>
      <w:numPr>
        <w:ilvl w:val="1"/>
        <w:numId w:val="14"/>
      </w:numPr>
      <w:tabs>
        <w:tab w:val="clear" w:pos="1440"/>
        <w:tab w:val="num" w:pos="851"/>
      </w:tabs>
      <w:spacing w:before="60" w:after="60"/>
      <w:ind w:left="851" w:hanging="709"/>
    </w:pPr>
    <w:rPr>
      <w:rFonts w:eastAsia="Times New Roman" w:cs="Arial"/>
      <w:sz w:val="22"/>
    </w:rPr>
  </w:style>
  <w:style w:type="paragraph" w:customStyle="1" w:styleId="TableHead">
    <w:name w:val="Table Head"/>
    <w:basedOn w:val="Normal"/>
    <w:rsid w:val="006A7F8F"/>
    <w:pPr>
      <w:spacing w:before="120" w:after="120"/>
      <w:ind w:left="74"/>
      <w:jc w:val="left"/>
    </w:pPr>
    <w:rPr>
      <w:rFonts w:eastAsia="Times New Roman" w:cs="Arial"/>
      <w:b/>
      <w:iCs/>
      <w:smallCaps/>
      <w:sz w:val="22"/>
      <w:szCs w:val="22"/>
    </w:rPr>
  </w:style>
  <w:style w:type="paragraph" w:customStyle="1" w:styleId="Table">
    <w:name w:val="Table"/>
    <w:basedOn w:val="Normal"/>
    <w:link w:val="TableChar"/>
    <w:rsid w:val="006A7F8F"/>
    <w:pPr>
      <w:overflowPunct w:val="0"/>
      <w:autoSpaceDE w:val="0"/>
      <w:autoSpaceDN w:val="0"/>
      <w:adjustRightInd w:val="0"/>
      <w:spacing w:before="40" w:after="40"/>
      <w:ind w:right="130"/>
      <w:jc w:val="left"/>
      <w:textAlignment w:val="baseline"/>
    </w:pPr>
    <w:rPr>
      <w:rFonts w:eastAsia="Times New Roman" w:cs="Times New Roman"/>
      <w:bCs/>
    </w:rPr>
  </w:style>
  <w:style w:type="paragraph" w:customStyle="1" w:styleId="Style1">
    <w:name w:val="Style1"/>
    <w:basedOn w:val="Normal"/>
    <w:rsid w:val="006A7F8F"/>
    <w:pPr>
      <w:numPr>
        <w:numId w:val="15"/>
      </w:numPr>
      <w:jc w:val="left"/>
    </w:pPr>
    <w:rPr>
      <w:rFonts w:eastAsia="Times New Roman" w:cs="Arial"/>
      <w:color w:val="009966"/>
      <w:sz w:val="28"/>
    </w:rPr>
  </w:style>
  <w:style w:type="character" w:customStyle="1" w:styleId="TableChar">
    <w:name w:val="Table Char"/>
    <w:link w:val="Table"/>
    <w:rsid w:val="006A7F8F"/>
    <w:rPr>
      <w:rFonts w:eastAsia="Times New Roman" w:cs="Times New Roman"/>
      <w:bCs/>
    </w:rPr>
  </w:style>
  <w:style w:type="paragraph" w:customStyle="1" w:styleId="Section">
    <w:name w:val="Section"/>
    <w:basedOn w:val="Normal"/>
    <w:next w:val="Normal"/>
    <w:rsid w:val="006A7F8F"/>
    <w:pPr>
      <w:numPr>
        <w:numId w:val="16"/>
      </w:numPr>
      <w:spacing w:before="120" w:after="120"/>
      <w:jc w:val="left"/>
    </w:pPr>
    <w:rPr>
      <w:rFonts w:eastAsia="Times New Roman" w:cs="Times New Roman"/>
      <w:sz w:val="28"/>
      <w:szCs w:val="24"/>
      <w:lang w:eastAsia="en-GB"/>
    </w:rPr>
  </w:style>
  <w:style w:type="numbering" w:customStyle="1" w:styleId="Style2">
    <w:name w:val="Style2"/>
    <w:basedOn w:val="NoList"/>
    <w:rsid w:val="00CC2B5A"/>
    <w:pPr>
      <w:numPr>
        <w:numId w:val="17"/>
      </w:numPr>
    </w:pPr>
  </w:style>
  <w:style w:type="character" w:customStyle="1" w:styleId="st1">
    <w:name w:val="st1"/>
    <w:basedOn w:val="DefaultParagraphFont"/>
    <w:rsid w:val="00F73857"/>
  </w:style>
  <w:style w:type="character" w:customStyle="1" w:styleId="searchword1">
    <w:name w:val="searchword1"/>
    <w:basedOn w:val="DefaultParagraphFont"/>
    <w:rsid w:val="00B00C70"/>
    <w:rPr>
      <w:shd w:val="clear" w:color="auto" w:fill="FFFF00"/>
    </w:rPr>
  </w:style>
  <w:style w:type="character" w:styleId="CommentReference">
    <w:name w:val="annotation reference"/>
    <w:basedOn w:val="DefaultParagraphFont"/>
    <w:uiPriority w:val="99"/>
    <w:semiHidden/>
    <w:unhideWhenUsed/>
    <w:rsid w:val="00982C42"/>
    <w:rPr>
      <w:sz w:val="16"/>
      <w:szCs w:val="16"/>
    </w:rPr>
  </w:style>
  <w:style w:type="paragraph" w:styleId="CommentText">
    <w:name w:val="annotation text"/>
    <w:basedOn w:val="Normal"/>
    <w:link w:val="CommentTextChar"/>
    <w:uiPriority w:val="99"/>
    <w:semiHidden/>
    <w:unhideWhenUsed/>
    <w:rsid w:val="00982C42"/>
  </w:style>
  <w:style w:type="character" w:customStyle="1" w:styleId="CommentTextChar">
    <w:name w:val="Comment Text Char"/>
    <w:basedOn w:val="DefaultParagraphFont"/>
    <w:link w:val="CommentText"/>
    <w:uiPriority w:val="99"/>
    <w:semiHidden/>
    <w:rsid w:val="00982C42"/>
  </w:style>
  <w:style w:type="paragraph" w:styleId="CommentSubject">
    <w:name w:val="annotation subject"/>
    <w:basedOn w:val="CommentText"/>
    <w:next w:val="CommentText"/>
    <w:link w:val="CommentSubjectChar"/>
    <w:uiPriority w:val="99"/>
    <w:semiHidden/>
    <w:unhideWhenUsed/>
    <w:rsid w:val="00982C42"/>
    <w:rPr>
      <w:b/>
      <w:bCs/>
    </w:rPr>
  </w:style>
  <w:style w:type="character" w:customStyle="1" w:styleId="CommentSubjectChar">
    <w:name w:val="Comment Subject Char"/>
    <w:basedOn w:val="CommentTextChar"/>
    <w:link w:val="CommentSubject"/>
    <w:uiPriority w:val="99"/>
    <w:semiHidden/>
    <w:rsid w:val="00982C42"/>
    <w:rPr>
      <w:b/>
      <w:bCs/>
    </w:rPr>
  </w:style>
  <w:style w:type="paragraph" w:styleId="Revision">
    <w:name w:val="Revision"/>
    <w:hidden/>
    <w:uiPriority w:val="99"/>
    <w:semiHidden/>
    <w:rsid w:val="00982C42"/>
    <w:pPr>
      <w:spacing w:after="0"/>
    </w:pPr>
  </w:style>
  <w:style w:type="paragraph" w:customStyle="1" w:styleId="MRNumberedHeading2">
    <w:name w:val="M&amp;R Numbered Heading 2"/>
    <w:basedOn w:val="Normal"/>
    <w:rsid w:val="006B54D6"/>
    <w:pPr>
      <w:numPr>
        <w:ilvl w:val="1"/>
        <w:numId w:val="18"/>
      </w:numPr>
      <w:spacing w:before="240"/>
      <w:outlineLvl w:val="1"/>
    </w:pPr>
    <w:rPr>
      <w:rFonts w:eastAsia="Times New Roman" w:cs="Times New Roman"/>
      <w:szCs w:val="24"/>
      <w:lang w:eastAsia="en-GB"/>
    </w:rPr>
  </w:style>
  <w:style w:type="paragraph" w:customStyle="1" w:styleId="MRNumberedHeading1">
    <w:name w:val="M&amp;R Numbered Heading 1"/>
    <w:basedOn w:val="Normal"/>
    <w:rsid w:val="00E56C05"/>
    <w:pPr>
      <w:keepNext/>
      <w:keepLines/>
      <w:numPr>
        <w:numId w:val="18"/>
      </w:numPr>
      <w:spacing w:before="240" w:line="288" w:lineRule="auto"/>
      <w:jc w:val="left"/>
    </w:pPr>
    <w:rPr>
      <w:rFonts w:eastAsia="Calibri" w:cs="Arial"/>
      <w:b/>
      <w:sz w:val="22"/>
      <w:szCs w:val="22"/>
      <w:lang w:eastAsia="en-GB"/>
    </w:rPr>
  </w:style>
  <w:style w:type="paragraph" w:customStyle="1" w:styleId="MRNumberedHeading3">
    <w:name w:val="M&amp;R Numbered Heading 3"/>
    <w:basedOn w:val="Normal"/>
    <w:rsid w:val="00343763"/>
    <w:pPr>
      <w:numPr>
        <w:numId w:val="20"/>
      </w:numPr>
      <w:spacing w:before="240" w:line="288" w:lineRule="auto"/>
      <w:jc w:val="left"/>
      <w:outlineLvl w:val="2"/>
    </w:pPr>
    <w:rPr>
      <w:rFonts w:eastAsia="Times New Roman" w:cs="Times New Roman"/>
      <w:szCs w:val="24"/>
      <w:lang w:eastAsia="en-GB"/>
    </w:rPr>
  </w:style>
  <w:style w:type="paragraph" w:customStyle="1" w:styleId="MRNumberedHeading4">
    <w:name w:val="M&amp;R Numbered Heading 4"/>
    <w:basedOn w:val="Normal"/>
    <w:rsid w:val="003E3276"/>
    <w:pPr>
      <w:tabs>
        <w:tab w:val="num" w:pos="2520"/>
      </w:tabs>
      <w:spacing w:before="240" w:line="288" w:lineRule="auto"/>
      <w:ind w:left="2520" w:hanging="720"/>
      <w:jc w:val="left"/>
      <w:outlineLvl w:val="3"/>
    </w:pPr>
    <w:rPr>
      <w:rFonts w:eastAsia="Times New Roman" w:cs="Times New Roman"/>
      <w:szCs w:val="22"/>
      <w:lang w:eastAsia="en-GB"/>
    </w:rPr>
  </w:style>
  <w:style w:type="paragraph" w:customStyle="1" w:styleId="MRNumberedHeading5">
    <w:name w:val="M&amp;R Numbered Heading 5"/>
    <w:basedOn w:val="Normal"/>
    <w:rsid w:val="003E3276"/>
    <w:pPr>
      <w:tabs>
        <w:tab w:val="num" w:pos="3240"/>
      </w:tabs>
      <w:spacing w:before="240" w:line="288" w:lineRule="auto"/>
      <w:ind w:left="3240" w:hanging="720"/>
      <w:jc w:val="left"/>
      <w:outlineLvl w:val="4"/>
    </w:pPr>
    <w:rPr>
      <w:rFonts w:eastAsia="Times New Roman" w:cs="Times New Roman"/>
      <w:szCs w:val="22"/>
      <w:lang w:eastAsia="en-GB"/>
    </w:rPr>
  </w:style>
  <w:style w:type="paragraph" w:customStyle="1" w:styleId="MRNumberedHeading6">
    <w:name w:val="M&amp;R Numbered Heading 6"/>
    <w:basedOn w:val="Normal"/>
    <w:rsid w:val="003E3276"/>
    <w:pPr>
      <w:tabs>
        <w:tab w:val="num" w:pos="3960"/>
      </w:tabs>
      <w:spacing w:before="240" w:line="288" w:lineRule="auto"/>
      <w:ind w:left="3960" w:hanging="720"/>
      <w:jc w:val="left"/>
      <w:outlineLvl w:val="5"/>
    </w:pPr>
    <w:rPr>
      <w:rFonts w:eastAsia="Times New Roman" w:cs="Times New Roman"/>
      <w:szCs w:val="24"/>
      <w:lang w:eastAsia="en-GB"/>
    </w:rPr>
  </w:style>
  <w:style w:type="paragraph" w:customStyle="1" w:styleId="MRNumberedHeading7">
    <w:name w:val="M&amp;R Numbered Heading 7"/>
    <w:basedOn w:val="Normal"/>
    <w:rsid w:val="003E3276"/>
    <w:pPr>
      <w:tabs>
        <w:tab w:val="num" w:pos="4680"/>
      </w:tabs>
      <w:spacing w:before="240" w:line="288" w:lineRule="auto"/>
      <w:ind w:left="4680" w:hanging="720"/>
      <w:jc w:val="left"/>
      <w:outlineLvl w:val="6"/>
    </w:pPr>
    <w:rPr>
      <w:rFonts w:eastAsia="Times New Roman" w:cs="Times New Roman"/>
      <w:szCs w:val="24"/>
      <w:lang w:eastAsia="en-GB"/>
    </w:rPr>
  </w:style>
  <w:style w:type="paragraph" w:customStyle="1" w:styleId="MRNumberedHeading8">
    <w:name w:val="M&amp;R Numbered Heading 8"/>
    <w:basedOn w:val="Normal"/>
    <w:rsid w:val="003E3276"/>
    <w:pPr>
      <w:tabs>
        <w:tab w:val="num" w:pos="5400"/>
      </w:tabs>
      <w:spacing w:before="240" w:line="288" w:lineRule="auto"/>
      <w:ind w:left="5400" w:hanging="720"/>
      <w:jc w:val="left"/>
      <w:outlineLvl w:val="7"/>
    </w:pPr>
    <w:rPr>
      <w:rFonts w:eastAsia="Times New Roman" w:cs="Times New Roman"/>
      <w:szCs w:val="24"/>
      <w:lang w:eastAsia="en-GB"/>
    </w:rPr>
  </w:style>
  <w:style w:type="paragraph" w:customStyle="1" w:styleId="MRNumberedHeading9">
    <w:name w:val="M&amp;R Numbered Heading 9"/>
    <w:basedOn w:val="Normal"/>
    <w:rsid w:val="003E3276"/>
    <w:pPr>
      <w:tabs>
        <w:tab w:val="num" w:pos="6120"/>
      </w:tabs>
      <w:spacing w:before="240" w:line="288" w:lineRule="auto"/>
      <w:ind w:left="6120" w:hanging="720"/>
      <w:jc w:val="left"/>
      <w:outlineLvl w:val="8"/>
    </w:pPr>
    <w:rPr>
      <w:rFonts w:eastAsia="Times New Roman" w:cs="Times New Roman"/>
      <w:szCs w:val="24"/>
      <w:lang w:eastAsia="en-GB"/>
    </w:rPr>
  </w:style>
  <w:style w:type="character" w:customStyle="1" w:styleId="normaltextrun">
    <w:name w:val="normaltextrun"/>
    <w:basedOn w:val="DefaultParagraphFont"/>
    <w:rsid w:val="007C2532"/>
  </w:style>
  <w:style w:type="character" w:customStyle="1" w:styleId="eop">
    <w:name w:val="eop"/>
    <w:basedOn w:val="DefaultParagraphFont"/>
    <w:rsid w:val="007C2532"/>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
    <w:basedOn w:val="Normal"/>
    <w:link w:val="ListParagraphChar"/>
    <w:uiPriority w:val="99"/>
    <w:qFormat/>
    <w:rsid w:val="00A675EA"/>
    <w:pPr>
      <w:ind w:left="720"/>
      <w:jc w:val="left"/>
    </w:pPr>
    <w:rPr>
      <w:rFonts w:ascii="CG Times" w:eastAsia="Times New Roman" w:hAnsi="CG Times" w:cs="Times New Roman"/>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
    <w:link w:val="ListParagraph"/>
    <w:uiPriority w:val="99"/>
    <w:rsid w:val="00A675EA"/>
    <w:rPr>
      <w:rFonts w:ascii="CG Times" w:eastAsia="Times New Roman" w:hAnsi="CG Times" w:cs="Times New Roman"/>
    </w:rPr>
  </w:style>
  <w:style w:type="paragraph" w:styleId="BodyText">
    <w:name w:val="Body Text"/>
    <w:basedOn w:val="Normal"/>
    <w:link w:val="BodyTextChar"/>
    <w:rsid w:val="000955F2"/>
    <w:pPr>
      <w:spacing w:after="120"/>
      <w:jc w:val="left"/>
    </w:pPr>
    <w:rPr>
      <w:rFonts w:asciiTheme="minorHAnsi" w:hAnsiTheme="minorHAnsi"/>
      <w:sz w:val="24"/>
      <w:szCs w:val="24"/>
      <w:lang w:val="en-US"/>
    </w:rPr>
  </w:style>
  <w:style w:type="character" w:customStyle="1" w:styleId="BodyTextChar">
    <w:name w:val="Body Text Char"/>
    <w:basedOn w:val="DefaultParagraphFont"/>
    <w:link w:val="BodyText"/>
    <w:rsid w:val="000955F2"/>
    <w:rPr>
      <w:rFonts w:asciiTheme="minorHAnsi" w:hAnsiTheme="minorHAnsi"/>
      <w:sz w:val="24"/>
      <w:szCs w:val="24"/>
      <w:lang w:val="en-US"/>
    </w:rPr>
  </w:style>
  <w:style w:type="character" w:styleId="UnresolvedMention">
    <w:name w:val="Unresolved Mention"/>
    <w:basedOn w:val="DefaultParagraphFont"/>
    <w:uiPriority w:val="99"/>
    <w:semiHidden/>
    <w:unhideWhenUsed/>
    <w:rsid w:val="00282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827368">
      <w:bodyDiv w:val="1"/>
      <w:marLeft w:val="0"/>
      <w:marRight w:val="0"/>
      <w:marTop w:val="0"/>
      <w:marBottom w:val="0"/>
      <w:divBdr>
        <w:top w:val="none" w:sz="0" w:space="0" w:color="auto"/>
        <w:left w:val="none" w:sz="0" w:space="0" w:color="auto"/>
        <w:bottom w:val="none" w:sz="0" w:space="0" w:color="auto"/>
        <w:right w:val="none" w:sz="0" w:space="0" w:color="auto"/>
      </w:divBdr>
    </w:div>
    <w:div w:id="800155546">
      <w:bodyDiv w:val="1"/>
      <w:marLeft w:val="0"/>
      <w:marRight w:val="0"/>
      <w:marTop w:val="0"/>
      <w:marBottom w:val="0"/>
      <w:divBdr>
        <w:top w:val="none" w:sz="0" w:space="0" w:color="auto"/>
        <w:left w:val="none" w:sz="0" w:space="0" w:color="auto"/>
        <w:bottom w:val="none" w:sz="0" w:space="0" w:color="auto"/>
        <w:right w:val="none" w:sz="0" w:space="0" w:color="auto"/>
      </w:divBdr>
    </w:div>
    <w:div w:id="1300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flickr.com/photos/genomicseducation/" TargetMode="External"/><Relationship Id="rId26" Type="http://schemas.openxmlformats.org/officeDocument/2006/relationships/hyperlink" Target="https://www.genomicseducation.hee.nhs.uk/wp-content/uploads/2020/04/HEE-GEP-Dashboard-generic.pdf" TargetMode="External"/><Relationship Id="rId3" Type="http://schemas.openxmlformats.org/officeDocument/2006/relationships/customXml" Target="../customXml/item2.xml"/><Relationship Id="rId21" Type="http://schemas.openxmlformats.org/officeDocument/2006/relationships/hyperlink" Target="https://www.genomicseducation.hee.nhs.uk/wp-content/uploads/2018/09/Alpha-thalassemia.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enomicseducation.hee.nhs.uk/document-library/" TargetMode="External"/><Relationship Id="rId25" Type="http://schemas.openxmlformats.org/officeDocument/2006/relationships/hyperlink" Target="https://www.genomicseducation.hee.nhs.uk/image-library/" TargetMode="External"/><Relationship Id="rId33"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s://www.genomicseducation.hee.nhs.uk/education/" TargetMode="External"/><Relationship Id="rId20" Type="http://schemas.openxmlformats.org/officeDocument/2006/relationships/hyperlink" Target="https://www.genomicseducation.hee.nhs.uk/wp-content/uploads/2020/04/Learn-more-Postcard-A5-cropped.pdf" TargetMode="External"/><Relationship Id="rId29" Type="http://schemas.openxmlformats.org/officeDocument/2006/relationships/hyperlink" Target="https://www.genomicseducation.hee.nhs.uk/wp-content/uploads/2020/04/HEE-GEP-Dashboard-generic.pdf"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enomicseducation.hee.nhs.uk/wp-content/uploads/2019/06/Genetic-Diabetes-Nurses.pdf" TargetMode="External"/><Relationship Id="rId32"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yperlink" Target="https://www.genomicseducation.hee.nhs.uk/wp-content/uploads/2019/05/Family-history-worksheet-blank.pdf" TargetMode="External"/><Relationship Id="rId28" Type="http://schemas.openxmlformats.org/officeDocument/2006/relationships/hyperlink" Target="https://healtheducationengland-my.sharepoint.com/:b:/g/personal/aine_kelly_hee_nhs_uk/EewthjLWzlFDlwtO645NyogBIQIQXbbhI0Np7HGg3ly8EA?e=BkrqkW" TargetMode="External"/><Relationship Id="rId10" Type="http://schemas.openxmlformats.org/officeDocument/2006/relationships/footnotes" Target="footnotes.xml"/><Relationship Id="rId19" Type="http://schemas.openxmlformats.org/officeDocument/2006/relationships/hyperlink" Target="https://vimeo.com/genomicsed"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enomicseducation.hee.nhs.uk/wp-content/uploads/2019/06/Game-factsheet-5-Cancer-and-the-genome.pdf" TargetMode="External"/><Relationship Id="rId27" Type="http://schemas.openxmlformats.org/officeDocument/2006/relationships/hyperlink" Target="https://vimeo.com/380453422" TargetMode="External"/><Relationship Id="rId30" Type="http://schemas.openxmlformats.org/officeDocument/2006/relationships/hyperlink" Target="https://vimeo.com/380453422" TargetMode="Externa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037FAE9712447969DA0F48A23A01B" ma:contentTypeVersion="13" ma:contentTypeDescription="Create a new document." ma:contentTypeScope="" ma:versionID="f90ea579af14de2cec5c8514bf6fc133">
  <xsd:schema xmlns:xsd="http://www.w3.org/2001/XMLSchema" xmlns:xs="http://www.w3.org/2001/XMLSchema" xmlns:p="http://schemas.microsoft.com/office/2006/metadata/properties" xmlns:ns3="60c577bb-ff96-4eab-8144-b14fa2b48a6f" xmlns:ns4="056b083f-ab0e-4467-820f-f4e4b2e40b41" targetNamespace="http://schemas.microsoft.com/office/2006/metadata/properties" ma:root="true" ma:fieldsID="e5048a633aeda5d930490141a56160cb" ns3:_="" ns4:_="">
    <xsd:import namespace="60c577bb-ff96-4eab-8144-b14fa2b48a6f"/>
    <xsd:import namespace="056b083f-ab0e-4467-820f-f4e4b2e40b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577bb-ff96-4eab-8144-b14fa2b48a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b083f-ab0e-4467-820f-f4e4b2e40b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499B5-92DC-486D-8365-D06D01B0FA72}">
  <ds:schemaRefs>
    <ds:schemaRef ds:uri="http://schemas.microsoft.com/sharepoint/v3/contenttype/forms"/>
  </ds:schemaRefs>
</ds:datastoreItem>
</file>

<file path=customXml/itemProps2.xml><?xml version="1.0" encoding="utf-8"?>
<ds:datastoreItem xmlns:ds="http://schemas.openxmlformats.org/officeDocument/2006/customXml" ds:itemID="{85722EC2-02EB-47A0-972E-9FC90A99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577bb-ff96-4eab-8144-b14fa2b48a6f"/>
    <ds:schemaRef ds:uri="056b083f-ab0e-4467-820f-f4e4b2e40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7A0EC-879A-4E6C-87B5-12A052674586}">
  <ds:schemaRefs>
    <ds:schemaRef ds:uri="http://schemas.openxmlformats.org/officeDocument/2006/bibliography"/>
  </ds:schemaRefs>
</ds:datastoreItem>
</file>

<file path=customXml/itemProps4.xml><?xml version="1.0" encoding="utf-8"?>
<ds:datastoreItem xmlns:ds="http://schemas.openxmlformats.org/officeDocument/2006/customXml" ds:itemID="{3801F446-E0BD-41EF-93F6-CE7E5C8444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15</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Foot Anstey LLP</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 Anstey (MS3)</dc:creator>
  <cp:keywords/>
  <dc:description/>
  <cp:lastModifiedBy>Leila Hodson</cp:lastModifiedBy>
  <cp:revision>41</cp:revision>
  <cp:lastPrinted>2015-01-12T17:15:00Z</cp:lastPrinted>
  <dcterms:created xsi:type="dcterms:W3CDTF">2020-05-12T10:51:00Z</dcterms:created>
  <dcterms:modified xsi:type="dcterms:W3CDTF">2020-07-03T11:14:00Z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ef">
    <vt:lpwstr>D/14307003/1</vt:lpwstr>
  </property>
  <property fmtid="{D5CDD505-2E9C-101B-9397-08002B2CF9AE}" pid="3" name="DOCID">
    <vt:lpwstr> </vt:lpwstr>
  </property>
  <property fmtid="{D5CDD505-2E9C-101B-9397-08002B2CF9AE}" pid="4" name="COMPANYID">
    <vt:i4>2122615784</vt:i4>
  </property>
  <property fmtid="{D5CDD505-2E9C-101B-9397-08002B2CF9AE}" pid="5" name="SERIALNO">
    <vt:i4>11956</vt:i4>
  </property>
  <property fmtid="{D5CDD505-2E9C-101B-9397-08002B2CF9AE}" pid="6" name="EDITION">
    <vt:lpwstr>FM</vt:lpwstr>
  </property>
  <property fmtid="{D5CDD505-2E9C-101B-9397-08002B2CF9AE}" pid="7" name="ASSOCID">
    <vt:i4>188684</vt:i4>
  </property>
  <property fmtid="{D5CDD505-2E9C-101B-9397-08002B2CF9AE}" pid="8" name="CLIENTID">
    <vt:i4>215922</vt:i4>
  </property>
  <property fmtid="{D5CDD505-2E9C-101B-9397-08002B2CF9AE}" pid="9" name="FILEID">
    <vt:i4>188350</vt:i4>
  </property>
  <property fmtid="{D5CDD505-2E9C-101B-9397-08002B2CF9AE}" pid="10" name="ContentTypeId">
    <vt:lpwstr>0x01010051E037FAE9712447969DA0F48A23A01B</vt:lpwstr>
  </property>
  <property fmtid="{D5CDD505-2E9C-101B-9397-08002B2CF9AE}" pid="11" name="AuthorIds_UIVersion_1024">
    <vt:lpwstr>12</vt:lpwstr>
  </property>
</Properties>
</file>